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bookmarkStart w:id="0" w:name="_Hlk101780234"/>
      <w:r>
        <w:rPr>
          <w:rFonts w:ascii="Arial" w:hAnsi="Arial" w:eastAsia="宋体" w:cs="Arial"/>
          <w:b/>
          <w:bCs/>
          <w:snapToGrid w:val="0"/>
          <w:kern w:val="0"/>
          <w:sz w:val="24"/>
          <w:szCs w:val="24"/>
          <w:lang w:val="en-US" w:eastAsia="en-US"/>
        </w:rPr>
        <w:t>3GPP TSG-RAN2#1</w:t>
      </w:r>
      <w:r>
        <w:rPr>
          <w:rFonts w:hint="eastAsia" w:ascii="Arial" w:hAnsi="Arial" w:eastAsia="宋体" w:cs="Arial"/>
          <w:b/>
          <w:bCs/>
          <w:snapToGrid w:val="0"/>
          <w:kern w:val="0"/>
          <w:sz w:val="24"/>
          <w:szCs w:val="24"/>
          <w:lang w:val="en-US" w:eastAsia="zh-CN"/>
        </w:rPr>
        <w:t>30</w:t>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 xml:space="preserve">     </w:t>
      </w:r>
      <w:r>
        <w:rPr>
          <w:rFonts w:hint="eastAsia" w:ascii="Arial" w:hAnsi="Arial" w:eastAsia="宋体" w:cs="Arial"/>
          <w:b/>
          <w:bCs/>
          <w:snapToGrid w:val="0"/>
          <w:kern w:val="0"/>
          <w:sz w:val="24"/>
          <w:szCs w:val="24"/>
          <w:lang w:val="en-US" w:eastAsia="zh-CN"/>
        </w:rPr>
        <w:t xml:space="preserve">                        </w:t>
      </w:r>
      <w:r>
        <w:rPr>
          <w:rFonts w:hint="eastAsia" w:ascii="Arial" w:hAnsi="Arial" w:eastAsia="宋体" w:cs="Arial"/>
          <w:b/>
          <w:bCs/>
          <w:i/>
          <w:iCs/>
          <w:snapToGrid w:val="0"/>
          <w:kern w:val="0"/>
          <w:sz w:val="24"/>
          <w:szCs w:val="24"/>
          <w:lang w:val="en-US" w:eastAsia="zh-CN"/>
        </w:rPr>
        <w:t>R2-2504082</w:t>
      </w:r>
    </w:p>
    <w:p>
      <w:pPr>
        <w:overflowPunct w:val="0"/>
        <w:autoSpaceDE w:val="0"/>
        <w:autoSpaceDN w:val="0"/>
        <w:adjustRightInd w:val="0"/>
        <w:snapToGrid w:val="0"/>
        <w:spacing w:after="156" w:afterLines="50" w:line="240" w:lineRule="auto"/>
        <w:jc w:val="left"/>
        <w:textAlignment w:val="baseline"/>
        <w:rPr>
          <w:rFonts w:hint="eastAsia" w:ascii="Arial" w:hAnsi="Arial" w:eastAsia="宋体" w:cs="Arial"/>
          <w:b/>
          <w:bCs/>
          <w:snapToGrid w:val="0"/>
          <w:kern w:val="0"/>
          <w:sz w:val="24"/>
          <w:szCs w:val="24"/>
          <w:lang w:val="en-US" w:eastAsia="zh-CN"/>
        </w:rPr>
      </w:pPr>
      <w:r>
        <w:rPr>
          <w:rFonts w:hint="eastAsia" w:ascii="Arial" w:hAnsi="Arial" w:eastAsia="宋体" w:cs="Arial"/>
          <w:b/>
          <w:bCs/>
          <w:snapToGrid w:val="0"/>
          <w:kern w:val="0"/>
          <w:sz w:val="24"/>
          <w:szCs w:val="24"/>
          <w:lang w:val="en-US" w:eastAsia="zh-CN"/>
        </w:rPr>
        <w:t>St.Julians, Malta</w:t>
      </w:r>
      <w:r>
        <w:rPr>
          <w:rFonts w:ascii="Arial" w:hAnsi="Arial" w:eastAsia="宋体" w:cs="Arial"/>
          <w:b/>
          <w:bCs/>
          <w:snapToGrid w:val="0"/>
          <w:kern w:val="0"/>
          <w:sz w:val="24"/>
          <w:szCs w:val="24"/>
          <w:lang w:val="en-US" w:eastAsia="zh-CN"/>
        </w:rPr>
        <w:t xml:space="preserve">, </w:t>
      </w:r>
      <w:r>
        <w:rPr>
          <w:rFonts w:hint="eastAsia" w:ascii="Arial" w:hAnsi="Arial" w:eastAsia="宋体" w:cs="Arial"/>
          <w:b/>
          <w:bCs/>
          <w:snapToGrid w:val="0"/>
          <w:kern w:val="0"/>
          <w:sz w:val="24"/>
          <w:szCs w:val="24"/>
          <w:lang w:val="en-US" w:eastAsia="zh-CN"/>
        </w:rPr>
        <w:t>May 19</w:t>
      </w:r>
      <w:r>
        <w:rPr>
          <w:rFonts w:hint="default" w:ascii="Arial" w:hAnsi="Arial" w:eastAsia="宋体" w:cs="Arial"/>
          <w:b/>
          <w:bCs/>
          <w:snapToGrid w:val="0"/>
          <w:kern w:val="0"/>
          <w:sz w:val="24"/>
          <w:szCs w:val="24"/>
          <w:vertAlign w:val="superscript"/>
          <w:lang w:val="en-US" w:eastAsia="zh-CN"/>
        </w:rPr>
        <w:t>th</w:t>
      </w:r>
      <w:r>
        <w:rPr>
          <w:rFonts w:ascii="Arial" w:hAnsi="Arial" w:eastAsia="宋体" w:cs="Arial"/>
          <w:b/>
          <w:bCs/>
          <w:snapToGrid w:val="0"/>
          <w:kern w:val="0"/>
          <w:sz w:val="24"/>
          <w:szCs w:val="24"/>
          <w:lang w:val="en-US" w:eastAsia="zh-CN"/>
        </w:rPr>
        <w:t xml:space="preserve"> – </w:t>
      </w:r>
      <w:r>
        <w:rPr>
          <w:rFonts w:hint="eastAsia" w:ascii="Arial" w:hAnsi="Arial" w:eastAsia="宋体" w:cs="Arial"/>
          <w:b/>
          <w:bCs/>
          <w:snapToGrid w:val="0"/>
          <w:kern w:val="0"/>
          <w:sz w:val="24"/>
          <w:szCs w:val="24"/>
          <w:lang w:val="en-US" w:eastAsia="zh-CN"/>
        </w:rPr>
        <w:t>23</w:t>
      </w:r>
      <w:r>
        <w:rPr>
          <w:rFonts w:hint="eastAsia" w:ascii="Arial" w:hAnsi="Arial" w:eastAsia="宋体" w:cs="Arial"/>
          <w:b/>
          <w:bCs/>
          <w:snapToGrid w:val="0"/>
          <w:kern w:val="0"/>
          <w:sz w:val="24"/>
          <w:szCs w:val="24"/>
          <w:vertAlign w:val="superscript"/>
          <w:lang w:val="en-US" w:eastAsia="zh-CN"/>
        </w:rPr>
        <w:t>rd</w:t>
      </w:r>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 2025</w:t>
      </w: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Source: </w:t>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ZTE Corporation, Sanechips</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Title: </w:t>
      </w:r>
      <w:r>
        <w:rPr>
          <w:rFonts w:ascii="Arial" w:hAnsi="Arial" w:eastAsia="宋体" w:cs="Arial"/>
          <w:b/>
          <w:bCs/>
          <w:snapToGrid w:val="0"/>
          <w:kern w:val="0"/>
          <w:sz w:val="24"/>
          <w:szCs w:val="24"/>
          <w:lang w:val="en-US" w:eastAsia="zh-CN"/>
        </w:rPr>
        <w:tab/>
      </w:r>
      <w:r>
        <w:rPr>
          <w:rFonts w:hint="eastAsia" w:ascii="Arial" w:hAnsi="Arial" w:eastAsia="宋体" w:cs="Arial"/>
          <w:b/>
          <w:bCs/>
          <w:snapToGrid w:val="0"/>
          <w:kern w:val="0"/>
          <w:sz w:val="24"/>
          <w:szCs w:val="24"/>
          <w:lang w:val="en-US" w:eastAsia="zh-CN"/>
        </w:rPr>
        <w:t xml:space="preserve">                  Consideration on IoT- NTN TDD mode</w:t>
      </w:r>
    </w:p>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Agenda item:</w:t>
      </w:r>
      <w:r>
        <w:rPr>
          <w:rFonts w:ascii="Arial" w:hAnsi="Arial" w:eastAsia="宋体" w:cs="Arial"/>
          <w:b/>
          <w:bCs/>
          <w:snapToGrid w:val="0"/>
          <w:kern w:val="0"/>
          <w:sz w:val="24"/>
          <w:szCs w:val="24"/>
          <w:lang w:val="en-US" w:eastAsia="zh-CN"/>
        </w:rPr>
        <w:tab/>
      </w:r>
      <w:bookmarkStart w:id="1" w:name="Source"/>
      <w:bookmarkEnd w:id="1"/>
      <w:r>
        <w:rPr>
          <w:rFonts w:hint="eastAsia" w:ascii="Arial" w:hAnsi="Arial" w:eastAsia="宋体" w:cs="Arial"/>
          <w:b/>
          <w:bCs/>
          <w:snapToGrid w:val="0"/>
          <w:kern w:val="0"/>
          <w:sz w:val="24"/>
          <w:szCs w:val="24"/>
          <w:lang w:val="en-US" w:eastAsia="zh-CN"/>
        </w:rPr>
        <w:t xml:space="preserve">      8.17</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Document for:</w:t>
      </w:r>
      <w:bookmarkStart w:id="2" w:name="DocumentFor"/>
      <w:bookmarkEnd w:id="2"/>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Discussion</w:t>
      </w:r>
      <w:r>
        <w:rPr>
          <w:rFonts w:hint="eastAsia" w:ascii="Arial" w:hAnsi="Arial" w:eastAsia="宋体" w:cs="Arial"/>
          <w:b/>
          <w:bCs/>
          <w:snapToGrid w:val="0"/>
          <w:kern w:val="0"/>
          <w:sz w:val="24"/>
          <w:szCs w:val="24"/>
          <w:lang w:val="en-US" w:eastAsia="zh-CN"/>
        </w:rPr>
        <w:t xml:space="preserve"> and Decision</w:t>
      </w:r>
    </w:p>
    <w:bookmarkEnd w:id="0"/>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pPr>
        <w:rPr>
          <w:rFonts w:hint="default"/>
          <w:lang w:val="en-US" w:eastAsia="zh-CN"/>
        </w:rPr>
      </w:pPr>
      <w:bookmarkStart w:id="6" w:name="OLE_LINK3"/>
      <w:r>
        <w:rPr>
          <w:rFonts w:hint="default" w:ascii="Times New Roman" w:hAnsi="Times New Roman" w:cs="Times New Roman"/>
          <w:lang w:val="en-US" w:eastAsia="zh-CN"/>
        </w:rPr>
        <w:t>In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RAN#106</w:t>
      </w:r>
      <w:r>
        <w:rPr>
          <w:rFonts w:hint="eastAsia" w:ascii="Times New Roman" w:hAnsi="Times New Roman" w:cs="Times New Roman"/>
          <w:lang w:val="en-US" w:eastAsia="zh-CN"/>
        </w:rPr>
        <w:t>, the r</w:t>
      </w:r>
      <w:r>
        <w:rPr>
          <w:rFonts w:hint="default" w:ascii="Times New Roman" w:hAnsi="Times New Roman" w:cs="Times New Roman"/>
          <w:lang w:val="en-US" w:eastAsia="zh-CN"/>
        </w:rPr>
        <w:t>evised WID on introduction of IoT-NTN TDD mode[</w:t>
      </w:r>
      <w:r>
        <w:rPr>
          <w:rFonts w:hint="eastAsia" w:cs="Times New Roman"/>
          <w:lang w:val="en-US" w:eastAsia="zh-CN"/>
        </w:rPr>
        <w:t>1</w:t>
      </w:r>
      <w:r>
        <w:rPr>
          <w:rFonts w:hint="default" w:ascii="Times New Roman" w:hAnsi="Times New Roman" w:cs="Times New Roman"/>
          <w:lang w:val="en-US" w:eastAsia="zh-CN"/>
        </w:rPr>
        <w:t xml:space="preserve">] has been agreed to </w:t>
      </w:r>
      <w:r>
        <w:rPr>
          <w:rFonts w:hint="default" w:ascii="Times New Roman" w:hAnsi="Times New Roman" w:cs="Times New Roman"/>
          <w:highlight w:val="none"/>
          <w:lang w:val="en-US" w:eastAsia="zh-CN"/>
        </w:rPr>
        <w:t>support a pattern with a period of 9 radio frames for the target MSS allocated band, where D=U=8 with a fixed guard period</w:t>
      </w:r>
      <w:bookmarkEnd w:id="6"/>
      <w:r>
        <w:rPr>
          <w:rFonts w:hint="eastAsia" w:cs="Times New Roman"/>
          <w:highlight w:val="none"/>
          <w:lang w:val="en-US" w:eastAsia="zh-CN"/>
        </w:rPr>
        <w:t>[2]</w:t>
      </w:r>
      <w:r>
        <w:rPr>
          <w:rFonts w:hint="default" w:ascii="Times New Roman" w:hAnsi="Times New Roman" w:cs="Times New Roman"/>
          <w:lang w:val="en-US" w:eastAsia="zh-CN"/>
        </w:rPr>
        <w:t>.</w:t>
      </w:r>
      <w:r>
        <w:rPr>
          <w:rFonts w:hint="eastAsia" w:cs="Times New Roman"/>
          <w:lang w:val="en-US" w:eastAsia="zh-CN"/>
        </w:rPr>
        <w:t xml:space="preserve"> In the RAN2#129 and RAN2#129bis meeting, some agreements has been made for supporting </w:t>
      </w:r>
      <w:r>
        <w:rPr>
          <w:rFonts w:hint="default" w:ascii="Times New Roman" w:hAnsi="Times New Roman" w:cs="Times New Roman"/>
          <w:lang w:val="en-US" w:eastAsia="zh-CN"/>
        </w:rPr>
        <w:t>the IoT-NTN TDD mode</w:t>
      </w:r>
      <w:r>
        <w:rPr>
          <w:rFonts w:hint="eastAsia" w:cs="Times New Roman"/>
          <w:lang w:val="en-US" w:eastAsia="zh-CN"/>
        </w:rPr>
        <w:t>.</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bookmarkStart w:id="7" w:name="OLE_LINK22"/>
      <w:r>
        <w:rPr>
          <w:rFonts w:hint="default" w:ascii="Times New Roman" w:hAnsi="Times New Roman" w:cs="Times New Roman"/>
          <w:lang w:val="en-US" w:eastAsia="zh-CN"/>
        </w:rPr>
        <w:t xml:space="preserve">we will </w:t>
      </w:r>
      <w:r>
        <w:rPr>
          <w:rFonts w:hint="eastAsia" w:cs="Times New Roman"/>
          <w:lang w:val="en-US" w:eastAsia="zh-CN"/>
        </w:rPr>
        <w:t xml:space="preserve">further </w:t>
      </w:r>
      <w:r>
        <w:rPr>
          <w:rFonts w:hint="default" w:ascii="Times New Roman" w:hAnsi="Times New Roman" w:cs="Times New Roman"/>
          <w:lang w:val="en-US" w:eastAsia="zh-CN"/>
        </w:rPr>
        <w:t>discuss the IoT-NTN TDD mode related RAN2 impacts and give our proposals.</w:t>
      </w:r>
      <w:bookmarkEnd w:id="7"/>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pPr>
        <w:widowControl w:val="0"/>
        <w:pBdr>
          <w:top w:val="single" w:color="auto" w:sz="12" w:space="3"/>
        </w:pBdr>
        <w:overflowPunct/>
        <w:autoSpaceDE/>
        <w:autoSpaceDN/>
        <w:adjustRightInd/>
        <w:spacing w:before="240" w:after="180" w:line="260" w:lineRule="auto"/>
        <w:ind w:left="0" w:leftChars="0" w:firstLineChars="0"/>
        <w:jc w:val="left"/>
        <w:textAlignment w:val="auto"/>
        <w:outlineLvl w:val="0"/>
        <w:rPr>
          <w:rFonts w:hint="default" w:cs="Arial"/>
          <w:b/>
          <w:bCs/>
          <w:kern w:val="0"/>
          <w:sz w:val="21"/>
          <w:szCs w:val="21"/>
          <w:lang w:val="en-US" w:eastAsia="zh-CN"/>
        </w:rPr>
      </w:pPr>
      <w:r>
        <w:rPr>
          <w:rFonts w:hint="eastAsia" w:cs="Arial"/>
          <w:b/>
          <w:bCs/>
          <w:kern w:val="0"/>
          <w:sz w:val="21"/>
          <w:szCs w:val="21"/>
          <w:lang w:val="en-US" w:eastAsia="zh-CN"/>
        </w:rPr>
        <w:t>Issue 1: Impact on higher layer Timers</w:t>
      </w:r>
    </w:p>
    <w:p>
      <w:pPr>
        <w:spacing w:before="75" w:beforeAutospacing="0" w:after="75" w:afterAutospacing="0" w:line="315" w:lineRule="atLeast"/>
        <w:ind w:leftChars="0"/>
        <w:rPr>
          <w:rFonts w:hint="eastAsia"/>
          <w:b w:val="0"/>
          <w:bCs w:val="0"/>
          <w:kern w:val="2"/>
          <w:sz w:val="20"/>
          <w:szCs w:val="20"/>
          <w:lang w:val="en-US" w:eastAsia="zh-CN"/>
        </w:rPr>
      </w:pPr>
      <w:r>
        <w:rPr>
          <w:rFonts w:hint="eastAsia"/>
          <w:b w:val="0"/>
          <w:bCs w:val="0"/>
          <w:kern w:val="2"/>
          <w:sz w:val="20"/>
          <w:szCs w:val="20"/>
          <w:lang w:val="en-US" w:eastAsia="zh-CN"/>
        </w:rPr>
        <w:t>In RAN2#129bis meeting[4], the following agreement has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
            </w:pPr>
            <w:r>
              <w:t>Agreements:</w:t>
            </w:r>
          </w:p>
          <w:p>
            <w:pPr>
              <w:pStyle w:val="2"/>
              <w:ind w:left="200" w:hanging="200" w:hangingChars="100"/>
              <w:rPr>
                <w:rFonts w:hint="default"/>
                <w:lang w:val="en-US" w:eastAsia="zh-CN"/>
              </w:rPr>
            </w:pPr>
            <w:r>
              <w:rPr>
                <w:lang w:eastAsia="zh-CN"/>
              </w:rPr>
              <w:t>3.</w:t>
            </w:r>
            <w:r>
              <w:rPr>
                <w:lang w:eastAsia="zh-CN"/>
              </w:rPr>
              <w:tab/>
            </w:r>
            <w:r>
              <w:rPr>
                <w:lang w:eastAsia="zh-CN"/>
              </w:rPr>
              <w:t>Existing value ranges of timers in unit of PDCCH periods are reused for IoT NTN TDD (FFS on the possible clarification to take into account the impact of invalid subframes</w:t>
            </w:r>
          </w:p>
        </w:tc>
      </w:tr>
    </w:tbl>
    <w:p>
      <w:pPr>
        <w:pStyle w:val="2"/>
        <w:spacing w:before="75" w:beforeAutospacing="0" w:after="75" w:afterAutospacing="0" w:line="315" w:lineRule="atLeast"/>
        <w:ind w:leftChars="0"/>
        <w:rPr>
          <w:rFonts w:hint="eastAsia"/>
          <w:lang w:val="en-US" w:eastAsia="zh-CN"/>
        </w:rPr>
      </w:pPr>
      <w:r>
        <w:rPr>
          <w:rFonts w:hint="eastAsia"/>
          <w:lang w:val="en-US" w:eastAsia="zh-CN"/>
        </w:rPr>
        <w:t>In the TS 38.321[8], the PDCCH period is defined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pStyle w:val="2"/>
              <w:rPr>
                <w:rFonts w:hint="default"/>
                <w:vertAlign w:val="baseline"/>
                <w:lang w:val="en-US" w:eastAsia="zh-CN"/>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w:t>
            </w:r>
            <w:r>
              <w:rPr>
                <w:highlight w:val="yellow"/>
                <w:lang w:eastAsia="zh-CN"/>
              </w:rPr>
              <w:t>T</w:t>
            </w:r>
            <w:r>
              <w:rPr>
                <w:highlight w:val="yellow"/>
              </w:rPr>
              <w:t>he calculation of number of PDCCH-subframes for</w:t>
            </w:r>
            <w:r>
              <w:rPr>
                <w:highlight w:val="yellow"/>
                <w:lang w:eastAsia="zh-CN"/>
              </w:rPr>
              <w:t xml:space="preserve"> the</w:t>
            </w:r>
            <w:r>
              <w:rPr>
                <w:highlight w:val="yellow"/>
              </w:rPr>
              <w:t xml:space="preserve"> timer configured in units of a PDCCH period is done by multiplying the number of PDCCH periods with </w:t>
            </w:r>
            <w:r>
              <w:rPr>
                <w:i/>
                <w:highlight w:val="yellow"/>
              </w:rPr>
              <w:t>npdcch-NumRepetitions-RA</w:t>
            </w:r>
            <w:r>
              <w:rPr>
                <w:highlight w:val="yellow"/>
              </w:rPr>
              <w:t xml:space="preserve"> when the UE uses the common search space or by </w:t>
            </w:r>
            <w:r>
              <w:rPr>
                <w:i/>
                <w:highlight w:val="yellow"/>
              </w:rPr>
              <w:t>npdcch-NumRepetitions</w:t>
            </w:r>
            <w:r>
              <w:rPr>
                <w:highlight w:val="yellow"/>
              </w:rPr>
              <w:t xml:space="preserve"> when the UE uses the UE specific search space. When counting a timer whose length is calculated in PDCCH-subframes, the UE shall include PDCCH-subframes that will be dropped or not required to be monitored as specified in clause 16.6 of TS 36.213 [2].</w:t>
            </w:r>
            <w:r>
              <w:t xml:space="preserve">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tc>
      </w:tr>
    </w:tbl>
    <w:p>
      <w:pPr>
        <w:pStyle w:val="2"/>
        <w:spacing w:before="75" w:beforeAutospacing="0" w:after="75" w:afterAutospacing="0" w:line="315" w:lineRule="atLeast"/>
        <w:ind w:leftChars="0"/>
        <w:rPr>
          <w:rFonts w:hint="eastAsia" w:eastAsia="宋体"/>
          <w:highlight w:val="yellow"/>
          <w:lang w:val="en-US" w:eastAsia="zh-CN"/>
        </w:rPr>
      </w:pPr>
      <w:r>
        <w:rPr>
          <w:rFonts w:hint="eastAsia"/>
          <w:lang w:val="en-US" w:eastAsia="zh-CN"/>
        </w:rPr>
        <w:t xml:space="preserve">It can be see that the length of </w:t>
      </w:r>
      <w:r>
        <w:rPr>
          <w:lang w:eastAsia="zh-CN"/>
        </w:rPr>
        <w:t>timer in unit of PDCCH periods</w:t>
      </w:r>
      <w:r>
        <w:rPr>
          <w:rFonts w:hint="eastAsia"/>
          <w:lang w:val="en-US" w:eastAsia="zh-CN"/>
        </w:rPr>
        <w:t xml:space="preserve"> is defined as </w:t>
      </w:r>
      <w:r>
        <w:rPr>
          <w:rFonts w:hint="eastAsia"/>
          <w:highlight w:val="none"/>
          <w:lang w:val="en-US" w:eastAsia="zh-CN"/>
        </w:rPr>
        <w:t>number of PDCCH-subframes</w:t>
      </w:r>
      <w:r>
        <w:rPr>
          <w:rFonts w:hint="eastAsia"/>
          <w:lang w:val="en-US" w:eastAsia="zh-CN"/>
        </w:rPr>
        <w:t xml:space="preserve">, e.g. the length of </w:t>
      </w:r>
      <w:r>
        <w:rPr>
          <w:lang w:eastAsia="zh-CN"/>
        </w:rPr>
        <w:t>timer in unit</w:t>
      </w:r>
      <w:r>
        <w:rPr>
          <w:highlight w:val="none"/>
          <w:lang w:eastAsia="zh-CN"/>
        </w:rPr>
        <w:t xml:space="preserve"> of PDCCH periods</w:t>
      </w:r>
      <w:r>
        <w:rPr>
          <w:rFonts w:hint="eastAsia"/>
          <w:highlight w:val="none"/>
          <w:lang w:val="en-US" w:eastAsia="zh-CN"/>
        </w:rPr>
        <w:t xml:space="preserve"> = the </w:t>
      </w:r>
      <w:r>
        <w:rPr>
          <w:highlight w:val="none"/>
        </w:rPr>
        <w:t>number of PDCCH-subframes</w:t>
      </w:r>
      <w:r>
        <w:rPr>
          <w:rFonts w:hint="eastAsia" w:eastAsia="宋体"/>
          <w:highlight w:val="none"/>
          <w:lang w:val="en-US" w:eastAsia="zh-CN"/>
        </w:rPr>
        <w:t>, where the number equals to (</w:t>
      </w:r>
      <w:r>
        <w:rPr>
          <w:highlight w:val="none"/>
        </w:rPr>
        <w:t>the number of PDCCH periods</w:t>
      </w:r>
      <w:r>
        <w:rPr>
          <w:rFonts w:hint="eastAsia" w:eastAsia="宋体"/>
          <w:highlight w:val="none"/>
          <w:lang w:val="en-US" w:eastAsia="zh-CN"/>
        </w:rPr>
        <w:t xml:space="preserve"> * </w:t>
      </w:r>
      <w:r>
        <w:rPr>
          <w:i/>
          <w:highlight w:val="none"/>
        </w:rPr>
        <w:t>npdcch-NumRepetitions</w:t>
      </w:r>
      <w:r>
        <w:rPr>
          <w:rFonts w:hint="eastAsia" w:eastAsia="宋体"/>
          <w:i/>
          <w:highlight w:val="none"/>
          <w:lang w:val="en-US" w:eastAsia="zh-CN"/>
        </w:rPr>
        <w:t>-RA</w:t>
      </w:r>
      <w:r>
        <w:rPr>
          <w:rFonts w:hint="eastAsia" w:eastAsia="宋体"/>
          <w:highlight w:val="none"/>
          <w:lang w:val="en-US" w:eastAsia="zh-CN"/>
        </w:rPr>
        <w:t>) or (</w:t>
      </w:r>
      <w:r>
        <w:rPr>
          <w:highlight w:val="none"/>
        </w:rPr>
        <w:t>the number of PDCCH periods</w:t>
      </w:r>
      <w:r>
        <w:rPr>
          <w:rFonts w:hint="eastAsia" w:eastAsia="宋体"/>
          <w:highlight w:val="none"/>
          <w:lang w:val="en-US" w:eastAsia="zh-CN"/>
        </w:rPr>
        <w:t xml:space="preserve"> * </w:t>
      </w:r>
      <w:r>
        <w:rPr>
          <w:i/>
          <w:highlight w:val="none"/>
        </w:rPr>
        <w:t>npdcch-NumRepetitions</w:t>
      </w:r>
      <w:r>
        <w:rPr>
          <w:rFonts w:hint="eastAsia" w:eastAsia="宋体"/>
          <w:highlight w:val="none"/>
          <w:lang w:val="en-US" w:eastAsia="zh-CN"/>
        </w:rPr>
        <w:t>) .</w:t>
      </w:r>
    </w:p>
    <w:p>
      <w:pPr>
        <w:pStyle w:val="2"/>
        <w:spacing w:before="75" w:beforeAutospacing="0" w:after="75" w:afterAutospacing="0" w:line="315" w:lineRule="atLeast"/>
        <w:ind w:leftChars="0"/>
        <w:rPr>
          <w:rFonts w:hint="eastAsia"/>
          <w:b/>
          <w:bCs/>
          <w:lang w:val="en-US" w:eastAsia="zh-CN"/>
        </w:rPr>
      </w:pPr>
      <w:r>
        <w:rPr>
          <w:rFonts w:hint="eastAsia" w:eastAsia="MS Mincho"/>
          <w:b/>
          <w:bCs/>
          <w:highlight w:val="none"/>
          <w:lang w:val="en-US" w:eastAsia="zh-CN"/>
        </w:rPr>
        <w:t>Observation</w:t>
      </w:r>
      <w:r>
        <w:rPr>
          <w:rFonts w:hint="eastAsia"/>
          <w:b/>
          <w:bCs/>
          <w:lang w:val="en-US" w:eastAsia="zh-CN"/>
        </w:rPr>
        <w:t xml:space="preserve"> 1: In TS 36.321 specification, the length of </w:t>
      </w:r>
      <w:r>
        <w:rPr>
          <w:b/>
          <w:bCs/>
          <w:lang w:eastAsia="zh-CN"/>
        </w:rPr>
        <w:t>timer in unit of PDCCH periods</w:t>
      </w:r>
      <w:r>
        <w:rPr>
          <w:rFonts w:hint="eastAsia"/>
          <w:b/>
          <w:bCs/>
          <w:lang w:val="en-US" w:eastAsia="zh-CN"/>
        </w:rPr>
        <w:t xml:space="preserve"> is defined as number of PDCCH-subframes.</w:t>
      </w:r>
    </w:p>
    <w:p>
      <w:pPr>
        <w:pStyle w:val="2"/>
        <w:spacing w:before="75" w:beforeAutospacing="0" w:after="75" w:afterAutospacing="0" w:line="315" w:lineRule="atLeast"/>
        <w:ind w:leftChars="0"/>
        <w:rPr>
          <w:rFonts w:hint="default" w:eastAsia="MS Mincho"/>
          <w:highlight w:val="none"/>
          <w:lang w:val="en-US" w:eastAsia="zh-CN"/>
        </w:rPr>
      </w:pPr>
      <w:r>
        <w:rPr>
          <w:rFonts w:hint="eastAsia"/>
          <w:b w:val="0"/>
          <w:bCs w:val="0"/>
          <w:lang w:val="en-US" w:eastAsia="zh-CN"/>
        </w:rPr>
        <w:t xml:space="preserve">In TS 36.321[8], the PDCCH-subframe for NB-IoT is defined as all NB-IoT downlink subframes as follows: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94"/>
            </w:pPr>
            <w:r>
              <w:rPr>
                <w:rFonts w:eastAsia="MS Mincho"/>
                <w:b/>
              </w:rPr>
              <w:t>PDCCH-subframe:</w:t>
            </w:r>
            <w:r>
              <w:t xml:space="preserve"> Refers to a subframe with PDCCH. This represents the union over PDCCH-subframes for all serving cells excluding cells configured with </w:t>
            </w:r>
            <w:r>
              <w:rPr>
                <w:rFonts w:eastAsia="MS Mincho"/>
              </w:rPr>
              <w:t>cross carrier scheduling for both uplink and downlink, as specified in TS 36.331 [8]</w:t>
            </w:r>
            <w:r>
              <w:rPr>
                <w:lang w:eastAsia="zh-CN"/>
              </w:rPr>
              <w:t xml:space="preserve">; except if the UE is not capable of </w:t>
            </w:r>
            <w:r>
              <w:t>simultaneous reception and transmission in the aggregated cells</w:t>
            </w:r>
            <w:r>
              <w:rPr>
                <w:lang w:eastAsia="zh-CN"/>
              </w:rPr>
              <w:t xml:space="preserve"> where this instead </w:t>
            </w:r>
            <w:r>
              <w:rPr>
                <w:rFonts w:eastAsia="Malgun Gothic"/>
              </w:rPr>
              <w:t>represents the PDCCH-subframes of the SpCell</w:t>
            </w:r>
            <w:r>
              <w:t>.</w:t>
            </w:r>
          </w:p>
          <w:p>
            <w:pPr>
              <w:pStyle w:val="94"/>
              <w:rPr>
                <w:rFonts w:hint="eastAsia"/>
                <w:lang w:val="en-US" w:eastAsia="zh-CN"/>
              </w:rPr>
            </w:pPr>
            <w:r>
              <w:rPr>
                <w:rFonts w:hint="eastAsia"/>
                <w:lang w:val="en-US" w:eastAsia="zh-CN"/>
              </w:rPr>
              <w:t>...</w:t>
            </w:r>
          </w:p>
          <w:p>
            <w:pPr>
              <w:pStyle w:val="94"/>
              <w:rPr>
                <w:rFonts w:hint="default"/>
                <w:vertAlign w:val="baseline"/>
                <w:lang w:val="en-US" w:eastAsia="zh-CN"/>
              </w:rPr>
            </w:pPr>
            <w:r>
              <w:t>-</w:t>
            </w:r>
            <w:r>
              <w:tab/>
            </w:r>
            <w:r>
              <w:t xml:space="preserve">For NB-IoT UE, all subframes that are part of the NPDCCH search space represent PDCCH-subframes </w:t>
            </w:r>
            <w:r>
              <w:rPr>
                <w:highlight w:val="yellow"/>
              </w:rPr>
              <w:t>among all NB-IoT downlink subframes</w:t>
            </w:r>
            <w:r>
              <w:t>, including those which the UE is not required to monitor as specified in clause 16.6 of TS 36.213 [2].</w:t>
            </w:r>
          </w:p>
        </w:tc>
      </w:tr>
    </w:tbl>
    <w:p>
      <w:pPr>
        <w:pStyle w:val="2"/>
        <w:spacing w:before="75" w:beforeAutospacing="0" w:after="75" w:afterAutospacing="0" w:line="315" w:lineRule="atLeast"/>
        <w:ind w:leftChars="0"/>
        <w:rPr>
          <w:rFonts w:hint="eastAsia"/>
          <w:lang w:val="en-US" w:eastAsia="zh-CN"/>
        </w:rPr>
      </w:pPr>
      <w:r>
        <w:rPr>
          <w:rFonts w:hint="eastAsia" w:eastAsia="MS Mincho"/>
          <w:b/>
          <w:bCs/>
          <w:lang w:val="en-US" w:eastAsia="zh-CN"/>
        </w:rPr>
        <w:t>Observation</w:t>
      </w:r>
      <w:r>
        <w:rPr>
          <w:rFonts w:hint="eastAsia"/>
          <w:b/>
          <w:bCs/>
          <w:lang w:val="en-US" w:eastAsia="zh-CN"/>
        </w:rPr>
        <w:t xml:space="preserve"> 2: In TS 36.321 specification, the PDCCH-subframe for NB-IoT is defined as all NB-IoT downlink subframes.</w:t>
      </w:r>
    </w:p>
    <w:p>
      <w:pPr>
        <w:pStyle w:val="2"/>
        <w:spacing w:before="75" w:beforeAutospacing="0" w:after="75" w:afterAutospacing="0" w:line="315" w:lineRule="atLeast"/>
        <w:ind w:leftChars="0"/>
        <w:rPr>
          <w:rFonts w:hint="default"/>
          <w:lang w:val="en-US" w:eastAsia="zh-CN"/>
        </w:rPr>
      </w:pPr>
      <w:r>
        <w:rPr>
          <w:rFonts w:hint="eastAsia"/>
          <w:lang w:val="en-US" w:eastAsia="zh-CN"/>
        </w:rPr>
        <w:t xml:space="preserve">And the IoT NTN TDD </w:t>
      </w:r>
      <w:r>
        <w:t xml:space="preserve">work item </w:t>
      </w:r>
      <w:r>
        <w:rPr>
          <w:rFonts w:hint="eastAsia" w:eastAsia="宋体"/>
          <w:lang w:val="en-US" w:eastAsia="zh-CN"/>
        </w:rPr>
        <w:t xml:space="preserve">is </w:t>
      </w:r>
      <w:r>
        <w:t>specify enhancements for NB-IoT NTN to enable NTN operation with a NB-IoT TDD mode leveraging commonalities with half-duplex NB-IoT FDD NTN</w:t>
      </w:r>
      <w:r>
        <w:rPr>
          <w:rFonts w:hint="eastAsia" w:eastAsia="宋体"/>
          <w:lang w:val="en-US" w:eastAsia="zh-CN"/>
        </w:rPr>
        <w:t xml:space="preserve">, the PDCCH-subframe definition for NB-IoT UE also applies to </w:t>
      </w:r>
      <w:r>
        <w:rPr>
          <w:rFonts w:hint="eastAsia"/>
          <w:lang w:val="en-US" w:eastAsia="zh-CN"/>
        </w:rPr>
        <w:t>IoT NTN TDD UE.</w:t>
      </w:r>
    </w:p>
    <w:p>
      <w:pPr>
        <w:pStyle w:val="2"/>
        <w:spacing w:before="75" w:beforeAutospacing="0" w:after="75" w:afterAutospacing="0" w:line="315" w:lineRule="atLeast"/>
        <w:ind w:leftChars="0"/>
        <w:rPr>
          <w:rFonts w:hint="eastAsia"/>
          <w:b/>
          <w:bCs/>
          <w:lang w:val="en-US" w:eastAsia="zh-CN"/>
        </w:rPr>
      </w:pPr>
      <w:r>
        <w:rPr>
          <w:rFonts w:hint="eastAsia" w:eastAsia="MS Mincho"/>
          <w:b/>
          <w:bCs/>
          <w:lang w:val="en-US" w:eastAsia="zh-CN"/>
        </w:rPr>
        <w:t>Observation</w:t>
      </w:r>
      <w:r>
        <w:rPr>
          <w:rFonts w:hint="eastAsia"/>
          <w:b/>
          <w:bCs/>
          <w:lang w:val="en-US" w:eastAsia="zh-CN"/>
        </w:rPr>
        <w:t xml:space="preserve"> 3: Based on the IoT NTN TDD work item, </w:t>
      </w:r>
      <w:r>
        <w:rPr>
          <w:rFonts w:hint="eastAsia" w:eastAsia="MS Mincho"/>
          <w:b/>
          <w:bCs/>
          <w:lang w:val="en-US" w:eastAsia="zh-CN"/>
        </w:rPr>
        <w:t xml:space="preserve">the PDCCH-subframe definition for NB-IoT UE also applies to </w:t>
      </w:r>
      <w:r>
        <w:rPr>
          <w:rFonts w:hint="eastAsia"/>
          <w:b/>
          <w:bCs/>
          <w:lang w:val="en-US" w:eastAsia="zh-CN"/>
        </w:rPr>
        <w:t>IoT NTN TDD UE.</w:t>
      </w:r>
    </w:p>
    <w:p>
      <w:pPr>
        <w:pStyle w:val="2"/>
        <w:spacing w:before="75" w:beforeAutospacing="0" w:after="75" w:afterAutospacing="0" w:line="315" w:lineRule="atLeast"/>
        <w:ind w:leftChars="0"/>
        <w:rPr>
          <w:rFonts w:hint="default"/>
          <w:lang w:val="en-US" w:eastAsia="zh-CN"/>
        </w:rPr>
      </w:pPr>
      <w:r>
        <w:rPr>
          <w:rFonts w:hint="eastAsia"/>
          <w:lang w:val="en-US" w:eastAsia="zh-CN"/>
        </w:rPr>
        <w:t xml:space="preserve">Thus, the length of </w:t>
      </w:r>
      <w:r>
        <w:rPr>
          <w:lang w:eastAsia="zh-CN"/>
        </w:rPr>
        <w:t>timer in unit of PDCCH periods</w:t>
      </w:r>
      <w:r>
        <w:rPr>
          <w:rFonts w:hint="eastAsia"/>
          <w:lang w:val="en-US" w:eastAsia="zh-CN"/>
        </w:rPr>
        <w:t xml:space="preserve"> is clear and clarification for the impact of invalid subframes is not necessary.</w:t>
      </w:r>
    </w:p>
    <w:p>
      <w:pPr>
        <w:pStyle w:val="2"/>
        <w:spacing w:before="75" w:beforeAutospacing="0" w:after="75" w:afterAutospacing="0" w:line="315" w:lineRule="atLeast"/>
        <w:ind w:leftChars="0"/>
        <w:rPr>
          <w:rFonts w:hint="default"/>
          <w:b/>
          <w:bCs/>
          <w:lang w:val="en-US" w:eastAsia="zh-CN"/>
        </w:rPr>
      </w:pPr>
      <w:r>
        <w:rPr>
          <w:rFonts w:hint="eastAsia"/>
          <w:b/>
          <w:bCs/>
          <w:lang w:val="en-US" w:eastAsia="zh-CN"/>
        </w:rPr>
        <w:t xml:space="preserve">Proposal 1: For </w:t>
      </w:r>
      <w:r>
        <w:rPr>
          <w:b/>
          <w:bCs/>
          <w:lang w:eastAsia="zh-CN"/>
        </w:rPr>
        <w:t>timer in unit of PDCCH periods</w:t>
      </w:r>
      <w:r>
        <w:rPr>
          <w:rFonts w:hint="eastAsia"/>
          <w:b/>
          <w:bCs/>
          <w:lang w:val="en-US" w:eastAsia="zh-CN"/>
        </w:rPr>
        <w:t xml:space="preserve">, the definition in existing specs is clear enough, not need for further clarification. </w:t>
      </w:r>
    </w:p>
    <w:p>
      <w:pPr>
        <w:pStyle w:val="53"/>
        <w:numPr>
          <w:ilvl w:val="-1"/>
          <w:numId w:val="0"/>
        </w:numPr>
        <w:spacing w:before="75" w:beforeAutospacing="0" w:after="75" w:afterAutospacing="0" w:line="315" w:lineRule="atLeast"/>
        <w:ind w:left="0" w:leftChars="0" w:firstLine="0" w:firstLineChars="0"/>
        <w:rPr>
          <w:rFonts w:hint="default" w:ascii="Times New Roman" w:hAnsi="Times New Roman"/>
          <w:bCs/>
          <w:strike w:val="0"/>
          <w:kern w:val="2"/>
          <w:sz w:val="20"/>
          <w:szCs w:val="20"/>
          <w:lang w:val="en-US" w:eastAsia="zh-CN"/>
        </w:rPr>
      </w:pPr>
      <w:r>
        <w:rPr>
          <w:rFonts w:hint="eastAsia" w:ascii="Times New Roman" w:hAnsi="Times New Roman"/>
          <w:bCs/>
          <w:strike w:val="0"/>
          <w:kern w:val="2"/>
          <w:sz w:val="20"/>
          <w:szCs w:val="20"/>
          <w:lang w:val="en-US" w:eastAsia="zh-CN"/>
        </w:rPr>
        <w:t xml:space="preserve">When determine the value range of rel-15 NB-IoT TDD timer </w:t>
      </w:r>
      <w:r>
        <w:rPr>
          <w:rFonts w:hint="eastAsia"/>
          <w:bCs/>
          <w:strike w:val="0"/>
          <w:kern w:val="2"/>
          <w:sz w:val="20"/>
          <w:szCs w:val="20"/>
          <w:lang w:val="en-US" w:eastAsia="zh-CN"/>
        </w:rPr>
        <w:t xml:space="preserve">in </w:t>
      </w:r>
      <w:r>
        <w:rPr>
          <w:rFonts w:hint="eastAsia" w:ascii="Times New Roman" w:hAnsi="Times New Roman"/>
          <w:bCs/>
          <w:strike w:val="0"/>
          <w:kern w:val="2"/>
          <w:sz w:val="20"/>
          <w:szCs w:val="20"/>
          <w:lang w:val="en-US" w:eastAsia="zh-CN"/>
        </w:rPr>
        <w:t xml:space="preserve">unit of ms or s, the maximal PUSCH repetition number(e.g. 128 repetitions) , the maximal PDCCH repetition number(e.g. 2048 repetitions) and the maximal PDSCH repetition number(e.g. 2048 repetitions) are considered, if coverage enhancement(e.g. transmission with repetitions) is not considered in IoT-NTN TDD </w:t>
      </w:r>
      <w:r>
        <w:rPr>
          <w:rFonts w:hint="default" w:ascii="Times New Roman" w:hAnsi="Times New Roman" w:eastAsia="Calibri"/>
          <w:bCs/>
          <w:strike w:val="0"/>
          <w:kern w:val="2"/>
          <w:sz w:val="20"/>
          <w:szCs w:val="20"/>
          <w:lang w:val="en-US" w:eastAsia="zh-CN"/>
        </w:rPr>
        <w:t>pattern with a period of 9 radio frames</w:t>
      </w:r>
      <w:r>
        <w:rPr>
          <w:rFonts w:hint="eastAsia" w:ascii="Times New Roman" w:hAnsi="Times New Roman"/>
          <w:bCs/>
          <w:strike w:val="0"/>
          <w:kern w:val="2"/>
          <w:sz w:val="20"/>
          <w:szCs w:val="20"/>
          <w:lang w:val="en-US" w:eastAsia="zh-CN"/>
        </w:rPr>
        <w:t xml:space="preserve">(e.g. the repetition number of all channels will be 1), the existing value range of Timer with unit of ms or s is enough for IoT-NTN TDD; but </w:t>
      </w:r>
      <w:r>
        <w:rPr>
          <w:rFonts w:hint="eastAsia"/>
          <w:bCs/>
          <w:strike w:val="0"/>
          <w:kern w:val="2"/>
          <w:sz w:val="20"/>
          <w:szCs w:val="20"/>
          <w:lang w:val="en-US" w:eastAsia="zh-CN"/>
        </w:rPr>
        <w:t xml:space="preserve">if </w:t>
      </w:r>
      <w:r>
        <w:rPr>
          <w:rFonts w:hint="eastAsia"/>
          <w:b w:val="0"/>
          <w:bCs w:val="0"/>
          <w:strike w:val="0"/>
          <w:kern w:val="2"/>
          <w:sz w:val="20"/>
          <w:szCs w:val="20"/>
          <w:lang w:val="en-US" w:eastAsia="zh-CN"/>
        </w:rPr>
        <w:t xml:space="preserve">IoT NTN TDD </w:t>
      </w:r>
      <w:r>
        <w:rPr>
          <w:rFonts w:hint="eastAsia"/>
          <w:bCs/>
          <w:strike w:val="0"/>
          <w:kern w:val="2"/>
          <w:sz w:val="20"/>
          <w:szCs w:val="20"/>
          <w:lang w:val="en-US" w:eastAsia="zh-CN"/>
        </w:rPr>
        <w:t xml:space="preserve">supports </w:t>
      </w:r>
      <w:r>
        <w:rPr>
          <w:rFonts w:hint="eastAsia" w:ascii="Times New Roman" w:hAnsi="Times New Roman"/>
          <w:bCs/>
          <w:strike w:val="0"/>
          <w:kern w:val="2"/>
          <w:sz w:val="20"/>
          <w:szCs w:val="20"/>
          <w:lang w:val="en-US" w:eastAsia="zh-CN"/>
        </w:rPr>
        <w:t>same coverage enhancement</w:t>
      </w:r>
      <w:r>
        <w:rPr>
          <w:rFonts w:hint="eastAsia"/>
          <w:bCs/>
          <w:strike w:val="0"/>
          <w:kern w:val="2"/>
          <w:sz w:val="20"/>
          <w:szCs w:val="20"/>
          <w:lang w:val="en-US" w:eastAsia="zh-CN"/>
        </w:rPr>
        <w:t xml:space="preserve"> level</w:t>
      </w:r>
      <w:r>
        <w:rPr>
          <w:rFonts w:hint="eastAsia" w:ascii="Times New Roman" w:hAnsi="Times New Roman"/>
          <w:bCs/>
          <w:strike w:val="0"/>
          <w:kern w:val="2"/>
          <w:sz w:val="20"/>
          <w:szCs w:val="20"/>
          <w:lang w:val="en-US" w:eastAsia="zh-CN"/>
        </w:rPr>
        <w:t>(e.g. UL with maximal 128 repetitions and DL with maximal 2048</w:t>
      </w:r>
      <w:r>
        <w:rPr>
          <w:rFonts w:hint="eastAsia"/>
          <w:bCs/>
          <w:strike w:val="0"/>
          <w:kern w:val="2"/>
          <w:sz w:val="20"/>
          <w:szCs w:val="20"/>
          <w:lang w:val="en-US" w:eastAsia="zh-CN"/>
        </w:rPr>
        <w:t xml:space="preserve"> </w:t>
      </w:r>
      <w:r>
        <w:rPr>
          <w:rFonts w:hint="eastAsia" w:ascii="Times New Roman" w:hAnsi="Times New Roman"/>
          <w:bCs/>
          <w:strike w:val="0"/>
          <w:kern w:val="2"/>
          <w:sz w:val="20"/>
          <w:szCs w:val="20"/>
          <w:lang w:val="en-US" w:eastAsia="zh-CN"/>
        </w:rPr>
        <w:t xml:space="preserve">repetitions), </w:t>
      </w:r>
      <w:r>
        <w:rPr>
          <w:rFonts w:hint="eastAsia"/>
          <w:bCs/>
          <w:strike w:val="0"/>
          <w:kern w:val="2"/>
          <w:sz w:val="20"/>
          <w:szCs w:val="20"/>
          <w:lang w:val="en-US" w:eastAsia="zh-CN"/>
        </w:rPr>
        <w:t xml:space="preserve">some of </w:t>
      </w:r>
      <w:r>
        <w:rPr>
          <w:rFonts w:hint="eastAsia" w:ascii="Times New Roman" w:hAnsi="Times New Roman"/>
          <w:bCs/>
          <w:strike w:val="0"/>
          <w:kern w:val="2"/>
          <w:sz w:val="20"/>
          <w:szCs w:val="20"/>
          <w:lang w:val="en-US" w:eastAsia="zh-CN"/>
        </w:rPr>
        <w:t>the existing value range of Timer with unit of ms or seconds</w:t>
      </w:r>
      <w:r>
        <w:rPr>
          <w:rFonts w:hint="eastAsia"/>
          <w:bCs/>
          <w:strike w:val="0"/>
          <w:kern w:val="2"/>
          <w:sz w:val="20"/>
          <w:szCs w:val="20"/>
          <w:lang w:val="en-US" w:eastAsia="zh-CN"/>
        </w:rPr>
        <w:t>(e.g. T300, T301, T311,T-PollRetransmit)</w:t>
      </w:r>
      <w:r>
        <w:rPr>
          <w:rFonts w:hint="eastAsia" w:ascii="Times New Roman" w:hAnsi="Times New Roman"/>
          <w:bCs/>
          <w:strike w:val="0"/>
          <w:kern w:val="2"/>
          <w:sz w:val="20"/>
          <w:szCs w:val="20"/>
          <w:lang w:val="en-US" w:eastAsia="zh-CN"/>
        </w:rPr>
        <w:t xml:space="preserve"> will be insufficient and need to be extended</w:t>
      </w:r>
      <w:r>
        <w:rPr>
          <w:rFonts w:hint="eastAsia"/>
          <w:bCs/>
          <w:strike w:val="0"/>
          <w:kern w:val="2"/>
          <w:sz w:val="20"/>
          <w:szCs w:val="20"/>
          <w:lang w:val="en-US" w:eastAsia="zh-CN"/>
        </w:rPr>
        <w:t xml:space="preserve">(e.g. </w:t>
      </w:r>
      <w:r>
        <w:rPr>
          <w:rFonts w:hint="eastAsia"/>
          <w:b w:val="0"/>
          <w:bCs/>
          <w:strike w:val="0"/>
          <w:kern w:val="2"/>
          <w:sz w:val="20"/>
          <w:szCs w:val="20"/>
          <w:lang w:val="en-US" w:eastAsia="zh-CN"/>
        </w:rPr>
        <w:t>extended to 4 times of legacy TDD value</w:t>
      </w:r>
      <w:r>
        <w:rPr>
          <w:rFonts w:hint="eastAsia"/>
          <w:bCs/>
          <w:strike w:val="0"/>
          <w:kern w:val="2"/>
          <w:sz w:val="20"/>
          <w:szCs w:val="20"/>
          <w:lang w:val="en-US" w:eastAsia="zh-CN"/>
        </w:rPr>
        <w:t>)</w:t>
      </w:r>
      <w:r>
        <w:rPr>
          <w:rFonts w:hint="eastAsia" w:ascii="Times New Roman" w:hAnsi="Times New Roman"/>
          <w:bCs/>
          <w:strike w:val="0"/>
          <w:kern w:val="2"/>
          <w:sz w:val="20"/>
          <w:szCs w:val="20"/>
          <w:lang w:val="en-US" w:eastAsia="zh-CN"/>
        </w:rPr>
        <w:t>.</w:t>
      </w:r>
    </w:p>
    <w:p>
      <w:pPr>
        <w:rPr>
          <w:rFonts w:hint="eastAsia"/>
          <w:b/>
          <w:bCs w:val="0"/>
          <w:strike w:val="0"/>
          <w:kern w:val="2"/>
          <w:sz w:val="20"/>
          <w:szCs w:val="20"/>
          <w:lang w:val="en-US" w:eastAsia="zh-CN"/>
        </w:rPr>
      </w:pPr>
      <w:r>
        <w:rPr>
          <w:rFonts w:hint="eastAsia"/>
          <w:b/>
          <w:bCs w:val="0"/>
          <w:strike w:val="0"/>
          <w:kern w:val="2"/>
          <w:sz w:val="20"/>
          <w:szCs w:val="20"/>
          <w:lang w:val="en-US" w:eastAsia="zh-CN"/>
        </w:rPr>
        <w:t>Observation 4: If IoT NTN TDD supports same coverage enhancement level(e.g. UL with maximal 128 repetitions and DL with maximal 2048 repetitions), some of the existing value range of Timer with unit of ms or seconds(e.g. T300, T301, T311,T-PollRetransmit) will be insufficient and need to be extended(e.g. extended to 4 times of legacy TDD value).</w:t>
      </w:r>
    </w:p>
    <w:p>
      <w:pPr>
        <w:pStyle w:val="53"/>
        <w:numPr>
          <w:ilvl w:val="255"/>
          <w:numId w:val="0"/>
        </w:numPr>
        <w:spacing w:before="75" w:beforeAutospacing="0" w:after="75" w:afterAutospacing="0" w:line="315" w:lineRule="atLeast"/>
        <w:rPr>
          <w:rFonts w:hint="default"/>
          <w:b w:val="0"/>
          <w:bCs/>
          <w:kern w:val="2"/>
          <w:sz w:val="20"/>
          <w:szCs w:val="20"/>
          <w:lang w:val="en-US" w:eastAsia="zh-CN"/>
        </w:rPr>
      </w:pPr>
      <w:r>
        <w:rPr>
          <w:rFonts w:hint="eastAsia"/>
          <w:b w:val="0"/>
          <w:bCs/>
          <w:kern w:val="2"/>
          <w:sz w:val="20"/>
          <w:szCs w:val="20"/>
          <w:lang w:val="en-US" w:eastAsia="zh-CN"/>
        </w:rPr>
        <w:t xml:space="preserve">Based on the current RRC specification[8], MIB transmission repetitions and SIB1-NB transmission </w:t>
      </w:r>
      <w:r>
        <w:rPr>
          <w:rFonts w:hint="eastAsia"/>
          <w:bCs/>
          <w:kern w:val="2"/>
          <w:sz w:val="20"/>
          <w:szCs w:val="20"/>
          <w:lang w:val="en-US" w:eastAsia="zh-CN"/>
        </w:rPr>
        <w:t>repetitions are made for coverage enhancement, e.g.</w:t>
      </w:r>
    </w:p>
    <w:p>
      <w:pPr>
        <w:pStyle w:val="53"/>
        <w:numPr>
          <w:ilvl w:val="255"/>
          <w:numId w:val="0"/>
        </w:numPr>
        <w:pBdr>
          <w:top w:val="single" w:color="auto" w:sz="4" w:space="0"/>
          <w:left w:val="single" w:color="auto" w:sz="4" w:space="0"/>
          <w:bottom w:val="single" w:color="auto" w:sz="4" w:space="0"/>
          <w:right w:val="single" w:color="auto" w:sz="4" w:space="0"/>
        </w:pBdr>
        <w:spacing w:before="75" w:beforeAutospacing="0" w:after="75" w:afterAutospacing="0" w:line="315" w:lineRule="atLeast"/>
        <w:rPr>
          <w:rFonts w:hint="eastAsia"/>
          <w:bCs/>
          <w:kern w:val="2"/>
          <w:sz w:val="20"/>
          <w:szCs w:val="20"/>
          <w:lang w:val="en-US" w:eastAsia="zh-CN"/>
        </w:rPr>
      </w:pPr>
      <w:r>
        <w:rPr>
          <w:rFonts w:hint="eastAsia"/>
          <w:b w:val="0"/>
          <w:bCs/>
          <w:kern w:val="2"/>
          <w:sz w:val="20"/>
          <w:szCs w:val="20"/>
          <w:lang w:val="en-US" w:eastAsia="zh-CN"/>
        </w:rPr>
        <w:t xml:space="preserve">MIB </w:t>
      </w:r>
      <w:r>
        <w:rPr>
          <w:rFonts w:hint="eastAsia"/>
          <w:bCs/>
          <w:kern w:val="2"/>
          <w:sz w:val="20"/>
          <w:szCs w:val="20"/>
          <w:lang w:val="en-US" w:eastAsia="zh-CN"/>
        </w:rPr>
        <w:t>uses a fixed schedule with a periodicity of 640 ms and repetitions made within 640 ms</w:t>
      </w:r>
      <w:r>
        <w:rPr>
          <w:rFonts w:hint="eastAsia" w:eastAsia="Calibri"/>
          <w:bCs/>
          <w:kern w:val="2"/>
          <w:sz w:val="20"/>
          <w:szCs w:val="20"/>
          <w:lang w:val="en-US" w:eastAsia="zh-CN"/>
        </w:rPr>
        <w:t>, and t</w:t>
      </w:r>
      <w:r>
        <w:rPr>
          <w:rFonts w:hint="eastAsia"/>
          <w:bCs/>
          <w:kern w:val="2"/>
          <w:sz w:val="20"/>
          <w:szCs w:val="20"/>
          <w:lang w:val="en-US" w:eastAsia="zh-CN"/>
        </w:rPr>
        <w:t xml:space="preserve">he transmissions are arranged in 8 independently decodable blocks of 80 ms duration. UE can decode the MIB if it can receive any one of 64 MIB blocks in 640ms. </w:t>
      </w:r>
    </w:p>
    <w:p>
      <w:pPr>
        <w:pStyle w:val="53"/>
        <w:numPr>
          <w:ilvl w:val="255"/>
          <w:numId w:val="0"/>
        </w:numPr>
        <w:pBdr>
          <w:top w:val="single" w:color="auto" w:sz="4" w:space="0"/>
          <w:left w:val="single" w:color="auto" w:sz="4" w:space="0"/>
          <w:bottom w:val="single" w:color="auto" w:sz="4" w:space="0"/>
          <w:right w:val="single" w:color="auto" w:sz="4" w:space="0"/>
        </w:pBdr>
        <w:spacing w:before="75" w:beforeAutospacing="0" w:after="75" w:afterAutospacing="0" w:line="315" w:lineRule="atLeast"/>
        <w:rPr>
          <w:rFonts w:hint="default"/>
          <w:b w:val="0"/>
          <w:bCs/>
          <w:kern w:val="2"/>
          <w:sz w:val="20"/>
          <w:szCs w:val="20"/>
          <w:lang w:val="en-US" w:eastAsia="zh-CN"/>
        </w:rPr>
      </w:pPr>
      <w:r>
        <w:rPr>
          <w:rFonts w:hint="eastAsia"/>
          <w:b w:val="0"/>
          <w:bCs/>
          <w:kern w:val="2"/>
          <w:sz w:val="20"/>
          <w:szCs w:val="20"/>
          <w:lang w:val="en-US" w:eastAsia="zh-CN"/>
        </w:rPr>
        <w:t xml:space="preserve">SIB1 transmission reliability has also been considered for coverage enhancement case, e.g. </w:t>
      </w:r>
      <w:r>
        <w:rPr>
          <w:rFonts w:hint="eastAsia"/>
          <w:bCs/>
          <w:kern w:val="2"/>
          <w:sz w:val="20"/>
          <w:szCs w:val="20"/>
          <w:lang w:val="en-US" w:eastAsia="zh-CN"/>
        </w:rPr>
        <w:t xml:space="preserve">The starting frame for the first transmission of the SIB1-NB is derived from the cell PCID and the number of repetitions within the 2560 ms period and repetitions are made, equally spaced, within the 2560 ms period (see TS 36.213 [23]). TBS for </w:t>
      </w:r>
      <w:r>
        <w:rPr>
          <w:rFonts w:hint="eastAsia"/>
          <w:bCs/>
          <w:i w:val="0"/>
          <w:kern w:val="2"/>
          <w:sz w:val="20"/>
          <w:szCs w:val="20"/>
          <w:lang w:val="en-US" w:eastAsia="zh-CN"/>
        </w:rPr>
        <w:t>SystemInformationBlockType1-NB</w:t>
      </w:r>
      <w:r>
        <w:rPr>
          <w:rFonts w:hint="eastAsia"/>
          <w:bCs/>
          <w:kern w:val="2"/>
          <w:sz w:val="20"/>
          <w:szCs w:val="20"/>
          <w:lang w:val="en-US" w:eastAsia="zh-CN"/>
        </w:rPr>
        <w:t xml:space="preserve"> and the repetitions made within the 2560 ms are indicated by </w:t>
      </w:r>
      <w:r>
        <w:rPr>
          <w:rFonts w:hint="eastAsia"/>
          <w:bCs/>
          <w:i w:val="0"/>
          <w:kern w:val="2"/>
          <w:sz w:val="20"/>
          <w:szCs w:val="20"/>
          <w:lang w:val="en-US" w:eastAsia="zh-CN"/>
        </w:rPr>
        <w:t xml:space="preserve">schedulingInfoSIB1 </w:t>
      </w:r>
      <w:r>
        <w:rPr>
          <w:rFonts w:hint="eastAsia"/>
          <w:bCs/>
          <w:kern w:val="2"/>
          <w:sz w:val="20"/>
          <w:szCs w:val="20"/>
          <w:lang w:val="en-US" w:eastAsia="zh-CN"/>
        </w:rPr>
        <w:t xml:space="preserve">field in the MIB-NB. If </w:t>
      </w:r>
      <w:r>
        <w:rPr>
          <w:rFonts w:hint="eastAsia"/>
          <w:bCs/>
          <w:i w:val="0"/>
          <w:kern w:val="2"/>
          <w:sz w:val="20"/>
          <w:szCs w:val="20"/>
          <w:lang w:val="en-US" w:eastAsia="zh-CN"/>
        </w:rPr>
        <w:t>additionalTransmissionSIB1</w:t>
      </w:r>
      <w:r>
        <w:rPr>
          <w:rFonts w:hint="eastAsia"/>
          <w:bCs/>
          <w:kern w:val="2"/>
          <w:sz w:val="20"/>
          <w:szCs w:val="20"/>
          <w:lang w:val="en-US" w:eastAsia="zh-CN"/>
        </w:rPr>
        <w:t xml:space="preserve"> is set to TRUE in the MIB-NB, additional SIB1-NB transmission occurs in subframe #3 of the same radio frames </w:t>
      </w:r>
      <w:r>
        <w:rPr>
          <w:rFonts w:hint="eastAsia" w:eastAsia="Calibri"/>
          <w:bCs/>
          <w:kern w:val="2"/>
          <w:sz w:val="20"/>
          <w:szCs w:val="20"/>
          <w:lang w:val="en-US" w:eastAsia="zh-CN"/>
        </w:rPr>
        <w:t xml:space="preserve">where SIB1-NB transmission occurs </w:t>
      </w:r>
      <w:r>
        <w:rPr>
          <w:rFonts w:hint="eastAsia"/>
          <w:bCs/>
          <w:kern w:val="2"/>
          <w:sz w:val="20"/>
          <w:szCs w:val="20"/>
          <w:lang w:val="en-US" w:eastAsia="zh-CN"/>
        </w:rPr>
        <w:t>with the same number of repetitions.</w:t>
      </w:r>
    </w:p>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But in RAN1#120 meeting[3], the following agreement has been made[4],</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highlight w:val="green"/>
                <w:lang w:eastAsia="zh-CN"/>
              </w:rPr>
              <w:t>Agreement</w:t>
            </w:r>
          </w:p>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 xml:space="preserve">NPSS/NSSS/NPBCH transmissions are dropped in non-D NB-IoT subframes </w:t>
            </w:r>
          </w:p>
          <w:p>
            <w:pPr>
              <w:pStyle w:val="53"/>
              <w:numPr>
                <w:ilvl w:val="0"/>
                <w:numId w:val="6"/>
              </w:numPr>
              <w:spacing w:before="75" w:beforeAutospacing="0" w:after="75" w:afterAutospacing="0" w:line="315" w:lineRule="atLeast"/>
              <w:ind w:left="420" w:hanging="420"/>
              <w:rPr>
                <w:rFonts w:hint="default"/>
                <w:b w:val="0"/>
                <w:bCs/>
                <w:kern w:val="2"/>
                <w:sz w:val="21"/>
                <w:szCs w:val="24"/>
                <w:vertAlign w:val="baseline"/>
                <w:lang w:val="en-US" w:eastAsia="zh-CN"/>
              </w:rPr>
            </w:pPr>
            <w:r>
              <w:rPr>
                <w:rFonts w:ascii="Times New Roman" w:hAnsi="Times New Roman" w:eastAsia="Batang" w:cs="Times New Roman"/>
                <w:kern w:val="0"/>
                <w:sz w:val="20"/>
                <w:szCs w:val="20"/>
                <w:lang w:eastAsia="zh-CN"/>
              </w:rPr>
              <w:t>NOTE: “non-D NB-IoT subframes” are subframes not contained within the set of D=8 usable consecutive downlink subframes in the TDD structure.</w:t>
            </w:r>
          </w:p>
        </w:tc>
      </w:tr>
    </w:tbl>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In RAN1#120bis meeting[5], the following agreement has been made[4],</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1"/>
                <w:numId w:val="0"/>
              </w:numPr>
              <w:overflowPunct w:val="0"/>
              <w:autoSpaceDE w:val="0"/>
              <w:autoSpaceDN w:val="0"/>
              <w:adjustRightInd w:val="0"/>
              <w:spacing w:after="180"/>
              <w:ind w:left="0" w:firstLine="0"/>
              <w:contextualSpacing/>
              <w:textAlignment w:val="baseline"/>
            </w:pPr>
            <w:r>
              <w:rPr>
                <w:highlight w:val="green"/>
              </w:rPr>
              <w:t>Agreement</w:t>
            </w:r>
          </w:p>
          <w:p>
            <w:pPr>
              <w:numPr>
                <w:ilvl w:val="-1"/>
                <w:numId w:val="0"/>
              </w:numPr>
              <w:overflowPunct w:val="0"/>
              <w:autoSpaceDE w:val="0"/>
              <w:autoSpaceDN w:val="0"/>
              <w:adjustRightInd w:val="0"/>
              <w:spacing w:after="180"/>
              <w:ind w:left="360" w:firstLine="0"/>
              <w:contextualSpacing/>
              <w:textAlignment w:val="baseline"/>
              <w:rPr>
                <w:bCs/>
              </w:rPr>
            </w:pPr>
            <w:r>
              <w:rPr>
                <w:bCs/>
              </w:rPr>
              <w:t>SIB1-NB is dropped in non-D NB-IoT subframes</w:t>
            </w:r>
          </w:p>
          <w:p>
            <w:pPr>
              <w:numPr>
                <w:ilvl w:val="0"/>
                <w:numId w:val="7"/>
              </w:numPr>
              <w:overflowPunct w:val="0"/>
              <w:autoSpaceDE w:val="0"/>
              <w:autoSpaceDN w:val="0"/>
              <w:adjustRightInd w:val="0"/>
              <w:spacing w:after="180"/>
              <w:contextualSpacing/>
              <w:textAlignment w:val="baseline"/>
              <w:rPr>
                <w:bCs/>
                <w:color w:val="000000"/>
                <w:lang w:eastAsia="zh-CN"/>
              </w:rPr>
            </w:pPr>
            <w:r>
              <w:rPr>
                <w:bCs/>
                <w:color w:val="000000"/>
                <w:lang w:eastAsia="zh-CN"/>
              </w:rPr>
              <w:t>NOTE 1: “non-D NB-IoT subframes” are subframes not contained within the set of D=8 usable consecutive downlink subframes in the TDD structure.</w:t>
            </w:r>
          </w:p>
          <w:p>
            <w:pPr>
              <w:numPr>
                <w:ilvl w:val="0"/>
                <w:numId w:val="7"/>
              </w:numPr>
              <w:overflowPunct w:val="0"/>
              <w:autoSpaceDE w:val="0"/>
              <w:autoSpaceDN w:val="0"/>
              <w:adjustRightInd w:val="0"/>
              <w:spacing w:before="75" w:beforeAutospacing="0" w:after="180" w:afterAutospacing="0" w:line="315" w:lineRule="atLeast"/>
              <w:ind w:left="420"/>
              <w:contextualSpacing/>
              <w:textAlignment w:val="baseline"/>
              <w:rPr>
                <w:rFonts w:hint="default"/>
                <w:b w:val="0"/>
                <w:bCs/>
                <w:kern w:val="2"/>
                <w:sz w:val="21"/>
                <w:szCs w:val="24"/>
                <w:vertAlign w:val="baseline"/>
                <w:lang w:val="en-US" w:eastAsia="zh-CN"/>
              </w:rPr>
            </w:pPr>
            <w:r>
              <w:rPr>
                <w:bCs/>
                <w:color w:val="000000"/>
                <w:highlight w:val="yellow"/>
                <w:lang w:eastAsia="zh-CN"/>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tc>
      </w:tr>
    </w:tbl>
    <w:p>
      <w:pPr>
        <w:pStyle w:val="53"/>
        <w:numPr>
          <w:ilvl w:val="255"/>
          <w:numId w:val="0"/>
        </w:numPr>
        <w:spacing w:before="75" w:beforeAutospacing="0" w:after="75" w:afterAutospacing="0" w:line="315" w:lineRule="atLeast"/>
        <w:rPr>
          <w:rFonts w:hint="eastAsia"/>
          <w:bCs/>
          <w:kern w:val="2"/>
          <w:sz w:val="20"/>
          <w:szCs w:val="20"/>
          <w:lang w:val="en-US" w:eastAsia="zh-CN"/>
        </w:rPr>
      </w:pPr>
      <w:r>
        <w:rPr>
          <w:rFonts w:hint="eastAsia"/>
          <w:b w:val="0"/>
          <w:bCs/>
          <w:kern w:val="2"/>
          <w:sz w:val="20"/>
          <w:szCs w:val="20"/>
          <w:lang w:val="en-US" w:eastAsia="zh-CN"/>
        </w:rPr>
        <w:t xml:space="preserve">Dropped some NPBCH and SIB1 repetition may impact MIB and SIB1 coverage range. With the limitation of NPBCH SIB1 coverage, the legacy </w:t>
      </w:r>
      <w:r>
        <w:rPr>
          <w:rFonts w:hint="eastAsia" w:ascii="Times New Roman" w:hAnsi="Times New Roman"/>
          <w:bCs/>
          <w:kern w:val="2"/>
          <w:sz w:val="20"/>
          <w:szCs w:val="20"/>
          <w:lang w:val="en-US" w:eastAsia="zh-CN"/>
        </w:rPr>
        <w:t>coverage enhancement</w:t>
      </w:r>
      <w:r>
        <w:rPr>
          <w:rFonts w:hint="eastAsia"/>
          <w:bCs/>
          <w:kern w:val="2"/>
          <w:sz w:val="20"/>
          <w:szCs w:val="20"/>
          <w:lang w:val="en-US" w:eastAsia="zh-CN"/>
        </w:rPr>
        <w:t xml:space="preserve"> level</w:t>
      </w:r>
      <w:r>
        <w:rPr>
          <w:rFonts w:hint="eastAsia" w:ascii="Times New Roman" w:hAnsi="Times New Roman"/>
          <w:bCs/>
          <w:kern w:val="2"/>
          <w:sz w:val="20"/>
          <w:szCs w:val="20"/>
          <w:lang w:val="en-US" w:eastAsia="zh-CN"/>
        </w:rPr>
        <w:t>(e.g. DL with maximal 2048</w:t>
      </w:r>
      <w:r>
        <w:rPr>
          <w:rFonts w:hint="eastAsia"/>
          <w:bCs/>
          <w:kern w:val="2"/>
          <w:sz w:val="20"/>
          <w:szCs w:val="20"/>
          <w:lang w:val="en-US" w:eastAsia="zh-CN"/>
        </w:rPr>
        <w:t xml:space="preserve"> </w:t>
      </w:r>
      <w:r>
        <w:rPr>
          <w:rFonts w:hint="eastAsia" w:ascii="Times New Roman" w:hAnsi="Times New Roman"/>
          <w:bCs/>
          <w:kern w:val="2"/>
          <w:sz w:val="20"/>
          <w:szCs w:val="20"/>
          <w:lang w:val="en-US" w:eastAsia="zh-CN"/>
        </w:rPr>
        <w:t>repetitions)</w:t>
      </w:r>
      <w:r>
        <w:rPr>
          <w:rFonts w:hint="eastAsia"/>
          <w:bCs/>
          <w:kern w:val="2"/>
          <w:sz w:val="20"/>
          <w:szCs w:val="20"/>
          <w:lang w:val="en-US" w:eastAsia="zh-CN"/>
        </w:rPr>
        <w:t xml:space="preserve"> can not be provided in IoT NTN TDD. </w:t>
      </w:r>
    </w:p>
    <w:p>
      <w:pPr>
        <w:rPr>
          <w:rFonts w:hint="eastAsia"/>
          <w:b/>
          <w:bCs w:val="0"/>
          <w:kern w:val="2"/>
          <w:sz w:val="20"/>
          <w:szCs w:val="20"/>
          <w:lang w:val="en-US" w:eastAsia="zh-CN"/>
        </w:rPr>
      </w:pPr>
      <w:r>
        <w:rPr>
          <w:rFonts w:hint="eastAsia"/>
          <w:b/>
          <w:bCs w:val="0"/>
          <w:kern w:val="2"/>
          <w:sz w:val="20"/>
          <w:szCs w:val="20"/>
          <w:lang w:val="en-US" w:eastAsia="zh-CN"/>
        </w:rPr>
        <w:t>Observation 5: Based on the RAN1 agreement, the legacy coverage enhancement level (e.g. DL with maximal 2048 repetitions) can not be provided in IoT NTN TDD.</w:t>
      </w:r>
    </w:p>
    <w:p>
      <w:pPr>
        <w:pStyle w:val="2"/>
        <w:rPr>
          <w:rFonts w:hint="default"/>
          <w:lang w:val="en-US" w:eastAsia="zh-CN"/>
        </w:rPr>
      </w:pPr>
      <w:r>
        <w:rPr>
          <w:rFonts w:hint="eastAsia"/>
          <w:lang w:val="en-US" w:eastAsia="zh-CN"/>
        </w:rPr>
        <w:t xml:space="preserve">Based on RAN1 progress it seems RAN1 will not further discuss the maximum number of repetition number that can be supported in IoT TDD system considering the overall link budget but would rather to leave it to NW implementation. Considering that the maximal value of timer in </w:t>
      </w:r>
      <w:r>
        <w:rPr>
          <w:rFonts w:hint="eastAsia" w:ascii="Times New Roman" w:hAnsi="Times New Roman"/>
          <w:bCs/>
          <w:strike w:val="0"/>
          <w:kern w:val="2"/>
          <w:sz w:val="20"/>
          <w:szCs w:val="20"/>
          <w:lang w:val="en-US" w:eastAsia="zh-CN"/>
        </w:rPr>
        <w:t>unit of ms or s</w:t>
      </w:r>
      <w:r>
        <w:rPr>
          <w:rFonts w:hint="eastAsia"/>
          <w:lang w:val="en-US" w:eastAsia="zh-CN"/>
        </w:rPr>
        <w:t xml:space="preserve"> is very large in NB-IoT, it shall be safe for RAN2 to assume that there is no need to extend the value range of timer in </w:t>
      </w:r>
      <w:r>
        <w:rPr>
          <w:rFonts w:hint="eastAsia" w:ascii="Times New Roman" w:hAnsi="Times New Roman"/>
          <w:bCs/>
          <w:strike w:val="0"/>
          <w:kern w:val="2"/>
          <w:sz w:val="20"/>
          <w:szCs w:val="20"/>
          <w:lang w:val="en-US" w:eastAsia="zh-CN"/>
        </w:rPr>
        <w:t>unit of ms or s</w:t>
      </w:r>
      <w:r>
        <w:rPr>
          <w:rFonts w:hint="eastAsia"/>
          <w:bCs/>
          <w:strike w:val="0"/>
          <w:kern w:val="2"/>
          <w:sz w:val="20"/>
          <w:szCs w:val="20"/>
          <w:lang w:val="en-US" w:eastAsia="zh-CN"/>
        </w:rPr>
        <w:t xml:space="preserve"> for IoT NTN TDD and the applicable repetition number will be up to NW implementation. This assumption can be revisit if RAN1 provides further updates on the the exact </w:t>
      </w:r>
      <w:r>
        <w:rPr>
          <w:rFonts w:hint="eastAsia"/>
          <w:lang w:val="en-US" w:eastAsia="zh-CN"/>
        </w:rPr>
        <w:t>overage enhancement level(e.g. the maximal repetitions number) that is supported in IoT NTN TDD system.</w:t>
      </w:r>
    </w:p>
    <w:p>
      <w:pPr>
        <w:pStyle w:val="2"/>
        <w:spacing w:before="75" w:beforeAutospacing="0" w:after="75" w:afterAutospacing="0" w:line="315" w:lineRule="atLeast"/>
        <w:ind w:leftChars="0"/>
        <w:rPr>
          <w:rFonts w:hint="default"/>
          <w:b/>
          <w:bCs/>
          <w:lang w:val="en-US" w:eastAsia="zh-CN"/>
        </w:rPr>
      </w:pPr>
      <w:r>
        <w:rPr>
          <w:rFonts w:hint="eastAsia"/>
          <w:b/>
          <w:bCs/>
          <w:lang w:val="en-US" w:eastAsia="zh-CN"/>
        </w:rPr>
        <w:t xml:space="preserve">Proposal 2: RAN2 assumes not extension is needed on the value range of timer in </w:t>
      </w:r>
      <w:r>
        <w:rPr>
          <w:rFonts w:hint="eastAsia" w:ascii="Times New Roman" w:hAnsi="Times New Roman"/>
          <w:b/>
          <w:bCs/>
          <w:strike w:val="0"/>
          <w:kern w:val="0"/>
          <w:sz w:val="20"/>
          <w:szCs w:val="21"/>
          <w:lang w:val="en-US" w:eastAsia="zh-CN"/>
        </w:rPr>
        <w:t>unit of ms or s</w:t>
      </w:r>
      <w:r>
        <w:rPr>
          <w:rFonts w:hint="eastAsia"/>
          <w:b/>
          <w:bCs/>
          <w:strike w:val="0"/>
          <w:kern w:val="0"/>
          <w:sz w:val="20"/>
          <w:szCs w:val="21"/>
          <w:lang w:val="en-US" w:eastAsia="zh-CN"/>
        </w:rPr>
        <w:t xml:space="preserve"> for IoT NTN TDD. </w:t>
      </w:r>
      <w:r>
        <w:rPr>
          <w:rFonts w:hint="eastAsia"/>
          <w:b/>
          <w:bCs w:val="0"/>
          <w:strike w:val="0"/>
          <w:kern w:val="2"/>
          <w:sz w:val="20"/>
          <w:szCs w:val="20"/>
          <w:lang w:val="en-US" w:eastAsia="zh-CN"/>
        </w:rPr>
        <w:t>This assumption can be revisited if</w:t>
      </w:r>
      <w:r>
        <w:rPr>
          <w:rFonts w:hint="eastAsia"/>
          <w:b/>
          <w:bCs w:val="0"/>
          <w:strike w:val="0"/>
          <w:kern w:val="0"/>
          <w:sz w:val="20"/>
          <w:szCs w:val="21"/>
          <w:lang w:val="en-US" w:eastAsia="zh-CN"/>
        </w:rPr>
        <w:t xml:space="preserve"> </w:t>
      </w:r>
      <w:r>
        <w:rPr>
          <w:rFonts w:hint="eastAsia"/>
          <w:b/>
          <w:bCs/>
          <w:strike w:val="0"/>
          <w:kern w:val="0"/>
          <w:sz w:val="20"/>
          <w:szCs w:val="21"/>
          <w:lang w:val="en-US" w:eastAsia="zh-CN"/>
        </w:rPr>
        <w:t xml:space="preserve">RAN1 provides the exact </w:t>
      </w:r>
      <w:r>
        <w:rPr>
          <w:rFonts w:hint="eastAsia"/>
          <w:b/>
          <w:bCs/>
          <w:lang w:val="en-US" w:eastAsia="zh-CN"/>
        </w:rPr>
        <w:t xml:space="preserve">overage enhancement level(e.g. the maximal repetitions number) that is supported in IoT NTN TDD system. </w:t>
      </w:r>
    </w:p>
    <w:p>
      <w:pPr>
        <w:spacing w:before="75" w:beforeAutospacing="0" w:after="75" w:afterAutospacing="0" w:line="315" w:lineRule="atLeast"/>
        <w:ind w:leftChars="0"/>
        <w:rPr>
          <w:rFonts w:hint="eastAsia"/>
          <w:bCs w:val="0"/>
          <w:strike w:val="0"/>
          <w:kern w:val="2"/>
          <w:sz w:val="20"/>
          <w:szCs w:val="20"/>
          <w:lang w:val="en-US" w:eastAsia="zh-CN"/>
        </w:rPr>
      </w:pPr>
      <w:r>
        <w:rPr>
          <w:rFonts w:hint="eastAsia"/>
          <w:b w:val="0"/>
          <w:bCs w:val="0"/>
          <w:strike w:val="0"/>
          <w:kern w:val="2"/>
          <w:sz w:val="20"/>
          <w:szCs w:val="20"/>
          <w:lang w:val="en-US" w:eastAsia="zh-CN"/>
        </w:rPr>
        <w:t xml:space="preserve">In the current TS 36.331 specification[7], the </w:t>
      </w:r>
      <w:r>
        <w:rPr>
          <w:rFonts w:ascii="Times New Roman" w:hAnsi="Times New Roman" w:eastAsia="Times New Roman" w:cs="Times New Roman"/>
          <w:b w:val="0"/>
          <w:bCs/>
          <w:strike w:val="0"/>
          <w:szCs w:val="20"/>
          <w:highlight w:val="none"/>
          <w:lang w:val="en-GB" w:eastAsia="ja-JP" w:bidi="ar-SA"/>
        </w:rPr>
        <w:t xml:space="preserve">ra-ResponseWindowSize and mac-ContentionResolutionTimer </w:t>
      </w:r>
      <w:r>
        <w:rPr>
          <w:rFonts w:hint="eastAsia" w:eastAsia="宋体" w:cs="Times New Roman"/>
          <w:b w:val="0"/>
          <w:bCs/>
          <w:strike w:val="0"/>
          <w:szCs w:val="20"/>
          <w:highlight w:val="none"/>
          <w:lang w:val="en-US" w:eastAsia="zh-CN" w:bidi="ar-SA"/>
        </w:rPr>
        <w:t xml:space="preserve">has </w:t>
      </w:r>
      <w:r>
        <w:rPr>
          <w:rFonts w:hint="eastAsia"/>
          <w:bCs w:val="0"/>
          <w:strike w:val="0"/>
          <w:kern w:val="2"/>
          <w:sz w:val="20"/>
          <w:szCs w:val="20"/>
          <w:lang w:val="en-US" w:eastAsia="zh-CN"/>
        </w:rPr>
        <w:t>the maximal absolute value limitation(e.g. 10.24s for FDD and 20.48s for TDD) as follows:</w:t>
      </w:r>
    </w:p>
    <w:tbl>
      <w:tblPr>
        <w:tblStyle w:val="56"/>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RACH-ConfigCommon-NB</w:t>
            </w:r>
            <w:r>
              <w:rPr>
                <w:rFonts w:ascii="Arial" w:hAnsi="Arial" w:eastAsia="Times New Roman" w:cs="Times New Roman"/>
                <w:b/>
                <w:iCs/>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hint="default" w:ascii="Arial" w:hAnsi="Arial" w:eastAsia="宋体" w:cs="Times New Roman"/>
                <w:b/>
                <w:i/>
                <w:sz w:val="18"/>
                <w:lang w:val="en-US" w:eastAsia="zh-CN" w:bidi="ar-SA"/>
              </w:rPr>
            </w:pPr>
            <w:r>
              <w:rPr>
                <w:rFonts w:hint="eastAsia" w:ascii="Arial" w:hAnsi="Arial" w:eastAsia="宋体" w:cs="Times New Roman"/>
                <w:b/>
                <w:i/>
                <w:sz w:val="18"/>
                <w:lang w:val="en-US" w:eastAsia="zh-CN"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mac-ContentionResolutionTimer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Timer for contention resolution in TS 36.321 [6]. Value in PDCCH periods. Value pp1 corresponds to 1 PDCCH period, pp2 corresponds to 2 PDCCH periods and so on.</w:t>
            </w:r>
            <w:r>
              <w:rPr>
                <w:rFonts w:ascii="Arial" w:hAnsi="Arial" w:eastAsia="Times New Roman" w:cs="Courier New"/>
                <w:i/>
                <w:sz w:val="18"/>
                <w:szCs w:val="16"/>
                <w:lang w:val="en-GB" w:eastAsia="ja-JP" w:bidi="ar-SA"/>
              </w:rPr>
              <w:t xml:space="preserve"> mac-ContentionResolutionTimer-r15</w:t>
            </w:r>
            <w:r>
              <w:rPr>
                <w:rFonts w:ascii="Arial" w:hAnsi="Arial" w:eastAsia="Times New Roman" w:cs="Arial"/>
                <w:sz w:val="18"/>
                <w:szCs w:val="18"/>
                <w:lang w:val="en-GB" w:eastAsia="ja-JP" w:bidi="ar-SA"/>
              </w:rPr>
              <w:t xml:space="preserve"> is only applicable for EDT. UE performing EDT shall use </w:t>
            </w:r>
            <w:r>
              <w:rPr>
                <w:rFonts w:ascii="Arial" w:hAnsi="Arial" w:eastAsia="Times New Roman" w:cs="Courier New"/>
                <w:i/>
                <w:sz w:val="18"/>
                <w:szCs w:val="16"/>
                <w:lang w:val="en-GB" w:eastAsia="ja-JP" w:bidi="ar-SA"/>
              </w:rPr>
              <w:t>mac-ContentionResolutionTimer-r15</w:t>
            </w:r>
            <w:r>
              <w:rPr>
                <w:rFonts w:ascii="Arial" w:hAnsi="Arial" w:eastAsia="Times New Roman" w:cs="Arial"/>
                <w:sz w:val="18"/>
                <w:szCs w:val="18"/>
                <w:lang w:val="en-GB" w:eastAsia="ja-JP" w:bidi="ar-SA"/>
              </w:rPr>
              <w:t>, if present.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 xml:space="preserve">For FDD: </w:t>
            </w:r>
            <w:r>
              <w:rPr>
                <w:rFonts w:ascii="Arial" w:hAnsi="Arial" w:eastAsia="Times New Roman" w:cs="Times New Roman"/>
                <w:sz w:val="18"/>
                <w:lang w:val="en-GB" w:eastAsia="zh-TW" w:bidi="ar-SA"/>
              </w:rPr>
              <w:t xml:space="preserve">The value considered by the UE is: </w:t>
            </w:r>
            <w:r>
              <w:rPr>
                <w:rFonts w:ascii="Arial" w:hAnsi="Arial" w:eastAsia="Times New Roman" w:cs="Times New Roman"/>
                <w:i/>
                <w:sz w:val="18"/>
                <w:lang w:val="en-GB" w:eastAsia="zh-TW" w:bidi="ar-SA"/>
              </w:rPr>
              <w:t>mac-ContentionResolutionTimer</w:t>
            </w:r>
            <w:r>
              <w:rPr>
                <w:rFonts w:ascii="Arial" w:hAnsi="Arial" w:eastAsia="Times New Roman" w:cs="Times New Roman"/>
                <w:sz w:val="18"/>
                <w:lang w:val="en-GB" w:eastAsia="zh-TW" w:bidi="ar-SA"/>
              </w:rPr>
              <w:t xml:space="preserve"> = Min (signaled value x PDCCH period, </w:t>
            </w:r>
            <w:r>
              <w:rPr>
                <w:rFonts w:ascii="Arial" w:hAnsi="Arial" w:eastAsia="PMingLiU" w:cs="Times New Roman"/>
                <w:sz w:val="18"/>
                <w:highlight w:val="yellow"/>
                <w:lang w:val="en-GB" w:eastAsia="zh-TW" w:bidi="ar-SA"/>
              </w:rPr>
              <w:t>10.24</w:t>
            </w:r>
            <w:r>
              <w:rPr>
                <w:rFonts w:ascii="Arial" w:hAnsi="Arial" w:eastAsia="Times New Roman" w:cs="Times New Roman"/>
                <w:sz w:val="18"/>
                <w:highlight w:val="yellow"/>
                <w:lang w:val="en-GB" w:eastAsia="zh-TW" w:bidi="ar-SA"/>
              </w:rPr>
              <w:t>s</w:t>
            </w:r>
            <w:r>
              <w:rPr>
                <w:rFonts w:ascii="Arial" w:hAnsi="Arial" w:eastAsia="Times New Roman" w:cs="Times New Roman"/>
                <w:sz w:val="18"/>
                <w:lang w:val="en-GB" w:eastAsia="zh-TW" w:bidi="ar-SA"/>
              </w:rPr>
              <w: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zh-TW" w:bidi="ar-SA"/>
              </w:rPr>
              <w:t xml:space="preserve">For TDD: The value considered by the UE is: </w:t>
            </w:r>
            <w:r>
              <w:rPr>
                <w:rFonts w:ascii="Arial" w:hAnsi="Arial" w:eastAsia="Times New Roman" w:cs="Times New Roman"/>
                <w:i/>
                <w:sz w:val="18"/>
                <w:lang w:val="en-GB" w:eastAsia="zh-TW" w:bidi="ar-SA"/>
              </w:rPr>
              <w:t>mac-ContentionResolutionTimer</w:t>
            </w:r>
            <w:r>
              <w:rPr>
                <w:rFonts w:ascii="Arial" w:hAnsi="Arial" w:eastAsia="Times New Roman" w:cs="Times New Roman"/>
                <w:sz w:val="18"/>
                <w:lang w:val="en-GB" w:eastAsia="zh-TW" w:bidi="ar-SA"/>
              </w:rPr>
              <w:t xml:space="preserve"> = Min (signaled value x PDCCH period, </w:t>
            </w:r>
            <w:r>
              <w:rPr>
                <w:rFonts w:ascii="Arial" w:hAnsi="Arial" w:eastAsia="Times New Roman" w:cs="Times New Roman"/>
                <w:sz w:val="18"/>
                <w:highlight w:val="yellow"/>
                <w:lang w:val="en-GB" w:eastAsia="zh-TW" w:bidi="ar-SA"/>
              </w:rPr>
              <w:t>20.48s</w:t>
            </w:r>
            <w:r>
              <w:rPr>
                <w:rFonts w:ascii="Arial" w:hAnsi="Arial" w:eastAsia="Times New Roman" w:cs="Times New Roman"/>
                <w:sz w:val="18"/>
                <w:lang w:val="en-GB" w:eastAsia="zh-TW"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92" w:hRule="atLeast"/>
          <w:tblHeader/>
        </w:trPr>
        <w:tc>
          <w:tcPr>
            <w:tcW w:w="9639"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ra-ResponseWindowSize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Duration of the RA response window in TS 36.321 [6]. Value in PDCCH periods. Value pp2 corresponds to 2 PDDCH periods, pp3 corresponds to 3 PDCCH periods and so 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 xml:space="preserve">For FDD: The value </w:t>
            </w:r>
            <w:r>
              <w:rPr>
                <w:rFonts w:ascii="Arial" w:hAnsi="Arial" w:eastAsia="Times New Roman" w:cs="Times New Roman"/>
                <w:sz w:val="18"/>
                <w:lang w:val="en-GB" w:eastAsia="zh-TW" w:bidi="ar-SA"/>
              </w:rPr>
              <w:t>considered by the UE is:</w:t>
            </w:r>
            <w:r>
              <w:rPr>
                <w:rFonts w:ascii="Arial" w:hAnsi="Arial" w:eastAsia="PMingLiU" w:cs="Times New Roman"/>
                <w:sz w:val="18"/>
                <w:lang w:val="en-GB" w:eastAsia="zh-TW" w:bidi="ar-SA"/>
              </w:rPr>
              <w:t xml:space="preserve"> </w:t>
            </w:r>
            <w:r>
              <w:rPr>
                <w:rFonts w:ascii="Arial" w:hAnsi="Arial" w:eastAsia="PMingLiU" w:cs="Times New Roman"/>
                <w:i/>
                <w:sz w:val="18"/>
                <w:lang w:val="en-GB" w:eastAsia="zh-TW" w:bidi="ar-SA"/>
              </w:rPr>
              <w:t>ra-ResponseWindowSize</w:t>
            </w:r>
            <w:r>
              <w:rPr>
                <w:rFonts w:ascii="Arial" w:hAnsi="Arial" w:eastAsia="PMingLiU" w:cs="Times New Roman"/>
                <w:sz w:val="18"/>
                <w:lang w:val="en-GB" w:eastAsia="zh-TW" w:bidi="ar-SA"/>
              </w:rPr>
              <w:t xml:space="preserve"> = Min (signaled value x PDCCH period, </w:t>
            </w:r>
            <w:r>
              <w:rPr>
                <w:rFonts w:ascii="Arial" w:hAnsi="Arial" w:eastAsia="PMingLiU" w:cs="Times New Roman"/>
                <w:sz w:val="18"/>
                <w:highlight w:val="yellow"/>
                <w:lang w:val="en-GB" w:eastAsia="zh-TW" w:bidi="ar-SA"/>
              </w:rPr>
              <w:t>10.24s</w:t>
            </w:r>
            <w:r>
              <w:rPr>
                <w:rFonts w:ascii="Arial" w:hAnsi="Arial" w:eastAsia="PMingLiU" w:cs="Times New Roman"/>
                <w:sz w:val="18"/>
                <w:lang w:val="en-GB" w:eastAsia="zh-TW" w:bidi="ar-SA"/>
              </w:rPr>
              <w:t>)</w:t>
            </w:r>
            <w:r>
              <w:rPr>
                <w:rFonts w:ascii="Arial" w:hAnsi="Arial" w:eastAsia="Times New Roman" w:cs="Times New Roman"/>
                <w:sz w:val="18"/>
                <w:lang w:val="en-GB" w:eastAsia="zh-TW" w:bidi="ar-SA"/>
              </w:rPr>
              <w: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zh-TW" w:bidi="ar-SA"/>
              </w:rPr>
              <w:t xml:space="preserve">For TDD: The value considered by the UE is: </w:t>
            </w:r>
            <w:r>
              <w:rPr>
                <w:rFonts w:ascii="Arial" w:hAnsi="Arial" w:eastAsia="Times New Roman" w:cs="Times New Roman"/>
                <w:i/>
                <w:sz w:val="18"/>
                <w:lang w:val="en-GB" w:eastAsia="zh-TW" w:bidi="ar-SA"/>
              </w:rPr>
              <w:t>ra-ResponseWindowSize</w:t>
            </w:r>
            <w:r>
              <w:rPr>
                <w:rFonts w:ascii="Arial" w:hAnsi="Arial" w:eastAsia="Times New Roman" w:cs="Times New Roman"/>
                <w:sz w:val="18"/>
                <w:lang w:val="en-GB" w:eastAsia="zh-TW" w:bidi="ar-SA"/>
              </w:rPr>
              <w:t xml:space="preserve"> = Min (signaled value x PDCCH period, </w:t>
            </w:r>
            <w:r>
              <w:rPr>
                <w:rFonts w:ascii="Arial" w:hAnsi="Arial" w:eastAsia="Times New Roman" w:cs="Times New Roman"/>
                <w:sz w:val="18"/>
                <w:highlight w:val="yellow"/>
                <w:lang w:val="en-GB" w:eastAsia="zh-TW" w:bidi="ar-SA"/>
              </w:rPr>
              <w:t>20.48s</w:t>
            </w:r>
            <w:r>
              <w:rPr>
                <w:rFonts w:ascii="Arial" w:hAnsi="Arial" w:eastAsia="Times New Roman" w:cs="Times New Roman"/>
                <w:sz w:val="18"/>
                <w:lang w:val="en-GB" w:eastAsia="zh-TW" w:bidi="ar-SA"/>
              </w:rPr>
              <w:t>).</w:t>
            </w:r>
          </w:p>
        </w:tc>
      </w:tr>
    </w:tbl>
    <w:p>
      <w:pPr>
        <w:pStyle w:val="2"/>
        <w:rPr>
          <w:rFonts w:hint="eastAsia"/>
          <w:bCs w:val="0"/>
          <w:strike w:val="0"/>
          <w:kern w:val="2"/>
          <w:sz w:val="20"/>
          <w:szCs w:val="20"/>
          <w:lang w:val="en-US" w:eastAsia="zh-CN"/>
        </w:rPr>
      </w:pPr>
      <w:r>
        <w:rPr>
          <w:rFonts w:hint="eastAsia"/>
          <w:lang w:val="en-US" w:eastAsia="zh-CN"/>
        </w:rPr>
        <w:t xml:space="preserve">Considering that there are less valid DL subframes and valid UL subframes in IoT NTN TDD than in legacy NB-IoT system, a larger </w:t>
      </w:r>
      <w:r>
        <w:rPr>
          <w:rFonts w:hint="eastAsia"/>
          <w:bCs w:val="0"/>
          <w:strike w:val="0"/>
          <w:kern w:val="2"/>
          <w:sz w:val="20"/>
          <w:szCs w:val="20"/>
          <w:lang w:val="en-US" w:eastAsia="zh-CN"/>
        </w:rPr>
        <w:t>absolute value limitation(e.g. 20.48s) is preferred for IoT NTN TDD.</w:t>
      </w:r>
    </w:p>
    <w:p>
      <w:pPr>
        <w:pStyle w:val="2"/>
        <w:spacing w:before="75" w:beforeAutospacing="0" w:after="75" w:afterAutospacing="0" w:line="315" w:lineRule="atLeast"/>
        <w:ind w:leftChars="0"/>
        <w:rPr>
          <w:rFonts w:hint="default"/>
          <w:b/>
          <w:bCs/>
          <w:lang w:val="en-US" w:eastAsia="zh-CN"/>
        </w:rPr>
      </w:pPr>
      <w:r>
        <w:rPr>
          <w:rFonts w:hint="eastAsia"/>
          <w:b/>
          <w:bCs/>
          <w:lang w:val="en-US" w:eastAsia="zh-CN"/>
        </w:rPr>
        <w:t xml:space="preserve">Proposal 3: For </w:t>
      </w:r>
      <w:r>
        <w:rPr>
          <w:rFonts w:hint="eastAsia"/>
          <w:b/>
          <w:bCs/>
          <w:strike w:val="0"/>
          <w:kern w:val="0"/>
          <w:sz w:val="20"/>
          <w:szCs w:val="21"/>
          <w:lang w:val="en-US" w:eastAsia="zh-CN"/>
        </w:rPr>
        <w:t xml:space="preserve">the timer of </w:t>
      </w:r>
      <w:r>
        <w:rPr>
          <w:rFonts w:hint="eastAsia" w:ascii="Times New Roman" w:hAnsi="Times New Roman" w:eastAsia="MS Mincho" w:cs="Times New Roman"/>
          <w:b/>
          <w:bCs/>
          <w:i/>
          <w:iCs/>
          <w:strike w:val="0"/>
          <w:szCs w:val="21"/>
          <w:lang w:val="en-US" w:eastAsia="zh-CN" w:bidi="ar-SA"/>
        </w:rPr>
        <w:t>ra-ResponseWindowSize</w:t>
      </w:r>
      <w:r>
        <w:rPr>
          <w:rFonts w:hint="eastAsia" w:ascii="Times New Roman" w:hAnsi="Times New Roman" w:eastAsia="MS Mincho" w:cs="Times New Roman"/>
          <w:b/>
          <w:bCs/>
          <w:strike w:val="0"/>
          <w:szCs w:val="21"/>
          <w:lang w:val="en-US" w:eastAsia="zh-CN" w:bidi="ar-SA"/>
        </w:rPr>
        <w:t xml:space="preserve"> and </w:t>
      </w:r>
      <w:r>
        <w:rPr>
          <w:rFonts w:hint="eastAsia" w:ascii="Times New Roman" w:hAnsi="Times New Roman" w:eastAsia="MS Mincho" w:cs="Times New Roman"/>
          <w:b/>
          <w:bCs/>
          <w:i/>
          <w:iCs/>
          <w:strike w:val="0"/>
          <w:szCs w:val="21"/>
          <w:lang w:val="en-US" w:eastAsia="zh-CN" w:bidi="ar-SA"/>
        </w:rPr>
        <w:t>mac-ContentionResolutionTimer</w:t>
      </w:r>
      <w:r>
        <w:rPr>
          <w:rFonts w:hint="eastAsia" w:eastAsia="MS Mincho" w:cs="Times New Roman"/>
          <w:b/>
          <w:bCs/>
          <w:strike w:val="0"/>
          <w:szCs w:val="21"/>
          <w:lang w:val="en-US" w:eastAsia="zh-CN" w:bidi="ar-SA"/>
        </w:rPr>
        <w:t xml:space="preserve">, the </w:t>
      </w:r>
      <w:r>
        <w:rPr>
          <w:rFonts w:hint="eastAsia"/>
          <w:b/>
          <w:bCs/>
          <w:strike w:val="0"/>
          <w:kern w:val="0"/>
          <w:sz w:val="20"/>
          <w:szCs w:val="21"/>
          <w:lang w:val="en-US" w:eastAsia="zh-CN"/>
        </w:rPr>
        <w:t>absolute value limitation for TDD(i.e., 20.48s) is used for IoT NTN TDD</w:t>
      </w:r>
      <w:r>
        <w:rPr>
          <w:rFonts w:hint="eastAsia"/>
          <w:b/>
          <w:bCs/>
          <w:lang w:val="en-US" w:eastAsia="zh-CN"/>
        </w:rPr>
        <w:t xml:space="preserve">. </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2: About NPRACH related issue</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cs="Times New Roman"/>
          <w:b w:val="0"/>
          <w:bCs w:val="0"/>
          <w:kern w:val="2"/>
          <w:sz w:val="20"/>
          <w:szCs w:val="20"/>
          <w:lang w:val="en-US" w:eastAsia="zh-CN"/>
        </w:rPr>
      </w:pPr>
      <w:r>
        <w:rPr>
          <w:rFonts w:hint="eastAsia" w:cs="Times New Roman"/>
          <w:b w:val="0"/>
          <w:bCs w:val="0"/>
          <w:kern w:val="2"/>
          <w:sz w:val="20"/>
          <w:szCs w:val="20"/>
          <w:lang w:val="en-US" w:eastAsia="zh-CN"/>
        </w:rPr>
        <w:t>In RAN1#120bis meeting[5], the following agreement has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New Roman" w:hAnsi="Times New Roman" w:eastAsia="Batang" w:cs="Times New Roman"/>
                <w:kern w:val="0"/>
                <w:sz w:val="20"/>
                <w:szCs w:val="20"/>
                <w:lang w:eastAsia="en-US"/>
              </w:rPr>
            </w:pPr>
            <w:r>
              <w:rPr>
                <w:rFonts w:ascii="Times New Roman" w:hAnsi="Times New Roman" w:eastAsia="Batang" w:cs="Times New Roman"/>
                <w:kern w:val="0"/>
                <w:sz w:val="20"/>
                <w:szCs w:val="20"/>
                <w:highlight w:val="green"/>
                <w:lang w:eastAsia="en-US"/>
              </w:rPr>
              <w:t>Agreement</w:t>
            </w:r>
          </w:p>
          <w:p>
            <w:pPr>
              <w:widowControl/>
              <w:spacing w:after="0" w:line="240" w:lineRule="auto"/>
              <w:jc w:val="left"/>
              <w:rPr>
                <w:rFonts w:ascii="Times New Roman" w:hAnsi="Times New Roman" w:eastAsia="Batang" w:cs="Times New Roman"/>
                <w:kern w:val="0"/>
                <w:sz w:val="20"/>
                <w:szCs w:val="20"/>
                <w:lang w:eastAsia="en-US"/>
              </w:rPr>
            </w:pPr>
            <w:r>
              <w:rPr>
                <w:rFonts w:ascii="Times New Roman" w:hAnsi="Times New Roman" w:eastAsia="Batang" w:cs="Times New Roman"/>
                <w:kern w:val="0"/>
                <w:sz w:val="20"/>
                <w:szCs w:val="20"/>
                <w:lang w:eastAsia="en-US"/>
              </w:rPr>
              <w:t>NPRACH transmissions are postponed in non-U NB-IoT subframes until the next U NB-IoT subframe(s). The unit of postponement is one PRU.</w:t>
            </w:r>
          </w:p>
          <w:p>
            <w:pPr>
              <w:widowControl/>
              <w:numPr>
                <w:ilvl w:val="0"/>
                <w:numId w:val="8"/>
              </w:numPr>
              <w:overflowPunct w:val="0"/>
              <w:autoSpaceDE w:val="0"/>
              <w:autoSpaceDN w:val="0"/>
              <w:adjustRightInd w:val="0"/>
              <w:spacing w:after="0" w:line="240"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NOTE: “U NB-IoT subframes” are subframes contained within the set of U=8 usable consecutive uplink subframes in the TDD structure.</w:t>
            </w:r>
          </w:p>
          <w:p>
            <w:pPr>
              <w:widowControl/>
              <w:overflowPunct w:val="0"/>
              <w:autoSpaceDE w:val="0"/>
              <w:autoSpaceDN w:val="0"/>
              <w:adjustRightInd w:val="0"/>
              <w:spacing w:after="0" w:line="240" w:lineRule="auto"/>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NPRACH periodicities of 40ms and 80ms are not supported in NB-IoT NTN TDD mode</w:t>
            </w:r>
          </w:p>
          <w:p>
            <w:pPr>
              <w:widowControl/>
              <w:numPr>
                <w:ilvl w:val="0"/>
                <w:numId w:val="8"/>
              </w:numPr>
              <w:overflowPunct w:val="0"/>
              <w:autoSpaceDE w:val="0"/>
              <w:autoSpaceDN w:val="0"/>
              <w:adjustRightInd w:val="0"/>
              <w:spacing w:before="75" w:after="0" w:line="240" w:lineRule="auto"/>
              <w:ind w:left="720" w:hanging="360"/>
              <w:contextualSpacing/>
              <w:jc w:val="left"/>
              <w:textAlignment w:val="baseline"/>
              <w:rPr>
                <w:rFonts w:hint="default" w:cs="Times New Roman"/>
                <w:b w:val="0"/>
                <w:bCs w:val="0"/>
                <w:kern w:val="2"/>
                <w:sz w:val="20"/>
                <w:szCs w:val="20"/>
                <w:vertAlign w:val="baseline"/>
                <w:lang w:val="en-US" w:eastAsia="zh-CN"/>
              </w:rPr>
            </w:pPr>
            <w:r>
              <w:rPr>
                <w:rFonts w:ascii="Times New Roman" w:hAnsi="Times New Roman" w:eastAsia="Batang" w:cs="Times New Roman"/>
                <w:kern w:val="0"/>
                <w:sz w:val="20"/>
                <w:szCs w:val="20"/>
                <w:lang w:eastAsia="zh-CN"/>
              </w:rPr>
              <w:t>Instead</w:t>
            </w:r>
            <w:r>
              <w:rPr>
                <w:rFonts w:ascii="Times New Roman" w:hAnsi="Times New Roman" w:eastAsia="等线" w:cs="Times New Roman"/>
                <w:kern w:val="0"/>
                <w:sz w:val="20"/>
                <w:szCs w:val="20"/>
                <w:lang w:eastAsia="zh-CN"/>
              </w:rPr>
              <w:t>, periodicities of 90ms and 180ms are supported</w:t>
            </w:r>
          </w:p>
        </w:tc>
      </w:tr>
    </w:tbl>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cs="Times New Roman"/>
          <w:b w:val="0"/>
          <w:bCs w:val="0"/>
          <w:kern w:val="2"/>
          <w:sz w:val="20"/>
          <w:szCs w:val="20"/>
          <w:lang w:val="en-US" w:eastAsia="zh-CN"/>
        </w:rPr>
      </w:pPr>
      <w:r>
        <w:rPr>
          <w:rFonts w:hint="eastAsia" w:cs="Times New Roman"/>
          <w:b w:val="0"/>
          <w:bCs w:val="0"/>
          <w:kern w:val="2"/>
          <w:sz w:val="20"/>
          <w:szCs w:val="20"/>
          <w:lang w:val="en-US" w:eastAsia="zh-CN"/>
        </w:rPr>
        <w:t>In 3GPP TS36.321[8], the RA-RNTI is calculated as following: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overflowPunct w:val="0"/>
              <w:autoSpaceDE w:val="0"/>
              <w:autoSpaceDN w:val="0"/>
              <w:adjustRightInd w:val="0"/>
              <w:spacing w:after="180" w:line="240" w:lineRule="auto"/>
              <w:jc w:val="left"/>
              <w:textAlignment w:val="baseline"/>
              <w:rPr>
                <w:rFonts w:eastAsia="Times New Roman"/>
                <w:kern w:val="0"/>
                <w:sz w:val="20"/>
                <w:szCs w:val="20"/>
                <w:highlight w:val="none"/>
                <w:lang w:eastAsia="ja-JP"/>
              </w:rPr>
            </w:pPr>
            <w:r>
              <w:rPr>
                <w:rFonts w:eastAsia="Times New Roman"/>
                <w:kern w:val="0"/>
                <w:sz w:val="20"/>
                <w:szCs w:val="20"/>
                <w:highlight w:val="none"/>
                <w:lang w:eastAsia="ja-JP"/>
              </w:rPr>
              <w:t>For NB-IoT UEs, the RA-RNTI associated with the PRACH in which the Random Access Preamble is transmitted, is computed as:</w:t>
            </w:r>
          </w:p>
          <w:p>
            <w:pPr>
              <w:widowControl/>
              <w:overflowPunct w:val="0"/>
              <w:autoSpaceDE w:val="0"/>
              <w:autoSpaceDN w:val="0"/>
              <w:adjustRightInd w:val="0"/>
              <w:spacing w:after="180" w:line="240" w:lineRule="auto"/>
              <w:jc w:val="center"/>
              <w:textAlignment w:val="baseline"/>
              <w:rPr>
                <w:rFonts w:eastAsia="Times New Roman"/>
                <w:kern w:val="0"/>
                <w:sz w:val="20"/>
                <w:szCs w:val="20"/>
                <w:highlight w:val="none"/>
                <w:lang w:eastAsia="ja-JP"/>
              </w:rPr>
            </w:pPr>
            <w:r>
              <w:rPr>
                <w:rFonts w:eastAsia="MS PGothic" w:cs="Arial"/>
                <w:bCs/>
                <w:kern w:val="0"/>
                <w:sz w:val="20"/>
                <w:szCs w:val="20"/>
                <w:highlight w:val="none"/>
                <w:lang w:eastAsia="ja-JP"/>
              </w:rPr>
              <w:t xml:space="preserve">RA-RNTI=1 + </w:t>
            </w:r>
            <w:r>
              <w:rPr>
                <w:rFonts w:eastAsia="Times New Roman" w:cs="Arial"/>
                <w:bCs/>
                <w:kern w:val="0"/>
                <w:sz w:val="20"/>
                <w:szCs w:val="20"/>
                <w:highlight w:val="none"/>
                <w:lang w:eastAsia="zh-CN"/>
              </w:rPr>
              <w:t>floor(</w:t>
            </w:r>
            <w:r>
              <w:rPr>
                <w:rFonts w:eastAsia="MS PGothic" w:cs="Arial"/>
                <w:bCs/>
                <w:kern w:val="0"/>
                <w:sz w:val="20"/>
                <w:szCs w:val="20"/>
                <w:highlight w:val="none"/>
                <w:lang w:eastAsia="ja-JP"/>
              </w:rPr>
              <w:t>SFN_id/4</w:t>
            </w:r>
            <w:r>
              <w:rPr>
                <w:rFonts w:eastAsia="Times New Roman" w:cs="Arial"/>
                <w:bCs/>
                <w:kern w:val="0"/>
                <w:sz w:val="20"/>
                <w:szCs w:val="20"/>
                <w:highlight w:val="none"/>
                <w:lang w:eastAsia="zh-CN"/>
              </w:rPr>
              <w:t>) + 256*carrier_id</w:t>
            </w:r>
          </w:p>
          <w:p>
            <w:pPr>
              <w:widowControl/>
              <w:overflowPunct w:val="0"/>
              <w:autoSpaceDE w:val="0"/>
              <w:autoSpaceDN w:val="0"/>
              <w:adjustRightInd w:val="0"/>
              <w:spacing w:after="180" w:line="240" w:lineRule="auto"/>
              <w:jc w:val="left"/>
              <w:textAlignment w:val="baseline"/>
              <w:rPr>
                <w:rFonts w:eastAsia="Times New Roman"/>
                <w:kern w:val="0"/>
                <w:sz w:val="20"/>
                <w:szCs w:val="20"/>
                <w:highlight w:val="none"/>
                <w:lang w:eastAsia="ja-JP"/>
              </w:rPr>
            </w:pPr>
            <w:r>
              <w:rPr>
                <w:rFonts w:eastAsia="Times New Roman"/>
                <w:kern w:val="0"/>
                <w:sz w:val="20"/>
                <w:szCs w:val="20"/>
                <w:highlight w:val="none"/>
                <w:lang w:eastAsia="ja-JP"/>
              </w:rPr>
              <w:t>where SFN_id is the index of the first radio frame of the specified PRACH and carrier_id is the index of the UL carrier associated with the specified PRACH. The carrier_id of the anchor carrier is 0.</w:t>
            </w:r>
          </w:p>
          <w:p>
            <w:pPr>
              <w:widowControl/>
              <w:overflowPunct w:val="0"/>
              <w:autoSpaceDE w:val="0"/>
              <w:autoSpaceDN w:val="0"/>
              <w:adjustRightInd w:val="0"/>
              <w:spacing w:after="180" w:line="240" w:lineRule="auto"/>
              <w:jc w:val="left"/>
              <w:textAlignment w:val="baseline"/>
              <w:rPr>
                <w:rFonts w:eastAsia="Times New Roman"/>
                <w:kern w:val="0"/>
                <w:sz w:val="20"/>
                <w:szCs w:val="20"/>
                <w:highlight w:val="none"/>
                <w:lang w:eastAsia="ja-JP"/>
              </w:rPr>
            </w:pPr>
            <w:r>
              <w:rPr>
                <w:rFonts w:eastAsia="Times New Roman"/>
                <w:kern w:val="0"/>
                <w:sz w:val="20"/>
                <w:szCs w:val="20"/>
                <w:highlight w:val="none"/>
                <w:lang w:eastAsia="ja-JP"/>
              </w:rPr>
              <w:t>For NB-IoT UEs operating in TDD mode, the RA-RNTI associated with the PRACH in which the Random Access Preamble is transmitted, is computed as:</w:t>
            </w:r>
          </w:p>
          <w:p>
            <w:pPr>
              <w:keepLines/>
              <w:tabs>
                <w:tab w:val="center" w:pos="4536"/>
                <w:tab w:val="right" w:pos="9072"/>
              </w:tabs>
              <w:overflowPunct w:val="0"/>
              <w:autoSpaceDE w:val="0"/>
              <w:autoSpaceDN w:val="0"/>
              <w:adjustRightInd w:val="0"/>
              <w:spacing w:after="180"/>
              <w:jc w:val="center"/>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RA-RNTI = 1 + floor(SFN_id/4) + 256*(H-SFN mod 2)</w:t>
            </w:r>
          </w:p>
          <w:p>
            <w:pPr>
              <w:pStyle w:val="2"/>
              <w:widowControl/>
              <w:overflowPunct w:val="0"/>
              <w:autoSpaceDE w:val="0"/>
              <w:autoSpaceDN w:val="0"/>
              <w:adjustRightInd w:val="0"/>
              <w:spacing w:before="75" w:after="75" w:line="315" w:lineRule="atLeast"/>
              <w:jc w:val="left"/>
              <w:textAlignment w:val="baseline"/>
              <w:rPr>
                <w:rFonts w:hint="default" w:cs="Times New Roman"/>
                <w:b w:val="0"/>
                <w:bCs w:val="0"/>
                <w:kern w:val="2"/>
                <w:sz w:val="20"/>
                <w:szCs w:val="20"/>
                <w:vertAlign w:val="baseline"/>
                <w:lang w:val="en-US" w:eastAsia="zh-CN"/>
              </w:rPr>
            </w:pPr>
            <w:r>
              <w:rPr>
                <w:rFonts w:eastAsia="Times New Roman"/>
                <w:kern w:val="0"/>
                <w:sz w:val="20"/>
                <w:szCs w:val="20"/>
                <w:highlight w:val="none"/>
                <w:lang w:eastAsia="ja-JP"/>
              </w:rPr>
              <w:t>where SFN_id is the index of the first radio frame of the specified PRACH and H-SFN is the index of the first hyper frame of the specified PRACH. The PDCCH transmission and the PRACH resource are on the same carrier.</w:t>
            </w:r>
          </w:p>
        </w:tc>
      </w:tr>
    </w:tbl>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eastAsia="宋体"/>
          <w:kern w:val="0"/>
          <w:sz w:val="20"/>
          <w:szCs w:val="20"/>
          <w:highlight w:val="none"/>
          <w:lang w:val="en-US" w:eastAsia="zh-CN"/>
        </w:rPr>
      </w:pPr>
      <w:r>
        <w:rPr>
          <w:rFonts w:hint="eastAsia" w:cs="Times New Roman"/>
          <w:b w:val="0"/>
          <w:bCs w:val="0"/>
          <w:kern w:val="2"/>
          <w:sz w:val="20"/>
          <w:szCs w:val="20"/>
          <w:lang w:val="en-US" w:eastAsia="zh-CN"/>
        </w:rPr>
        <w:t>If proposal 3 is agreed, then tone RAR window could cross two H-SFNs. Therefore (H-SFN mod 2)  should be considered in RA-RNTI calculation to indicate which H-SFN</w:t>
      </w:r>
      <w:bookmarkStart w:id="24" w:name="_GoBack"/>
      <w:bookmarkEnd w:id="24"/>
      <w:r>
        <w:rPr>
          <w:rFonts w:hint="eastAsia" w:cs="Times New Roman"/>
          <w:b w:val="0"/>
          <w:bCs w:val="0"/>
          <w:kern w:val="2"/>
          <w:sz w:val="20"/>
          <w:szCs w:val="20"/>
          <w:lang w:val="en-US" w:eastAsia="zh-CN"/>
        </w:rPr>
        <w:t xml:space="preserve"> the PRACH transmission is made,  similar as that for </w:t>
      </w:r>
      <w:r>
        <w:rPr>
          <w:rFonts w:eastAsia="Times New Roman"/>
          <w:kern w:val="0"/>
          <w:sz w:val="20"/>
          <w:szCs w:val="20"/>
          <w:highlight w:val="none"/>
          <w:lang w:eastAsia="ja-JP"/>
        </w:rPr>
        <w:t>NB-IoT UEs operating in TDD mode</w:t>
      </w:r>
      <w:r>
        <w:rPr>
          <w:rFonts w:hint="eastAsia" w:eastAsia="宋体"/>
          <w:kern w:val="0"/>
          <w:sz w:val="20"/>
          <w:szCs w:val="20"/>
          <w:highlight w:val="none"/>
          <w:lang w:val="en-US" w:eastAsia="zh-CN"/>
        </w:rPr>
        <w:t xml:space="preserve">. And considering that DL subframes and UL subframes are on the same carrier for IoT NTN TDD, carrier id need not be considered in RA-RNTI calculation for IoT NTN TDD. </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eastAsia="宋体"/>
          <w:b/>
          <w:bCs/>
          <w:kern w:val="0"/>
          <w:sz w:val="20"/>
          <w:szCs w:val="20"/>
          <w:highlight w:val="none"/>
          <w:lang w:val="en-US" w:eastAsia="zh-CN"/>
        </w:rPr>
      </w:pPr>
      <w:r>
        <w:rPr>
          <w:rFonts w:hint="eastAsia" w:eastAsia="宋体"/>
          <w:b/>
          <w:bCs/>
          <w:kern w:val="0"/>
          <w:sz w:val="20"/>
          <w:szCs w:val="20"/>
          <w:highlight w:val="none"/>
          <w:lang w:val="en-US" w:eastAsia="zh-CN"/>
        </w:rPr>
        <w:t xml:space="preserve">Proposal 4: For RA-RNTI calculation in IoT NTN TDD, </w:t>
      </w:r>
      <w:r>
        <w:rPr>
          <w:rFonts w:hint="eastAsia" w:cs="Times New Roman"/>
          <w:b/>
          <w:bCs/>
          <w:kern w:val="2"/>
          <w:sz w:val="20"/>
          <w:szCs w:val="20"/>
          <w:lang w:val="en-US" w:eastAsia="zh-CN"/>
        </w:rPr>
        <w:t>H-SFN is considered and</w:t>
      </w:r>
      <w:r>
        <w:rPr>
          <w:rFonts w:hint="eastAsia" w:eastAsia="宋体"/>
          <w:b/>
          <w:bCs/>
          <w:kern w:val="0"/>
          <w:sz w:val="20"/>
          <w:szCs w:val="20"/>
          <w:highlight w:val="none"/>
          <w:lang w:val="en-US" w:eastAsia="zh-CN"/>
        </w:rPr>
        <w:t xml:space="preserve"> carrier id is not considered. </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eastAsia="宋体"/>
          <w:b/>
          <w:bCs/>
          <w:kern w:val="0"/>
          <w:sz w:val="20"/>
          <w:szCs w:val="20"/>
          <w:highlight w:val="none"/>
          <w:lang w:val="en-US" w:eastAsia="zh-CN"/>
        </w:rPr>
      </w:pPr>
      <w:r>
        <w:rPr>
          <w:rFonts w:hint="eastAsia" w:eastAsia="宋体"/>
          <w:b/>
          <w:bCs/>
          <w:kern w:val="0"/>
          <w:sz w:val="20"/>
          <w:szCs w:val="20"/>
          <w:highlight w:val="none"/>
          <w:lang w:val="en-US" w:eastAsia="zh-CN"/>
        </w:rPr>
        <w:t xml:space="preserve">Proposal 4a: For RA-RNTI calculation in IoT NTN TDD, </w:t>
      </w:r>
      <w:r>
        <w:rPr>
          <w:rFonts w:hint="eastAsia" w:cs="Times New Roman"/>
          <w:b/>
          <w:bCs/>
          <w:kern w:val="2"/>
          <w:sz w:val="20"/>
          <w:szCs w:val="20"/>
          <w:lang w:val="en-US" w:eastAsia="zh-CN"/>
        </w:rPr>
        <w:t>the NB-IoT TDD RA-RNTI calculation is used as baseline</w:t>
      </w:r>
      <w:r>
        <w:rPr>
          <w:rFonts w:hint="eastAsia" w:eastAsia="宋体"/>
          <w:b/>
          <w:bCs/>
          <w:kern w:val="0"/>
          <w:sz w:val="20"/>
          <w:szCs w:val="20"/>
          <w:highlight w:val="none"/>
          <w:lang w:val="en-US" w:eastAsia="zh-CN"/>
        </w:rPr>
        <w:t>.</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eastAsia="宋体"/>
          <w:kern w:val="0"/>
          <w:sz w:val="20"/>
          <w:szCs w:val="20"/>
          <w:highlight w:val="none"/>
          <w:lang w:val="en-US" w:eastAsia="zh-CN"/>
        </w:rPr>
      </w:pPr>
      <w:r>
        <w:rPr>
          <w:rFonts w:hint="eastAsia" w:eastAsia="宋体"/>
          <w:kern w:val="0"/>
          <w:sz w:val="20"/>
          <w:szCs w:val="20"/>
          <w:highlight w:val="none"/>
          <w:lang w:val="en-US" w:eastAsia="zh-CN"/>
        </w:rPr>
        <w:t xml:space="preserve">In legacy NB-IoT system, the minimal NPRACH periodicity is 40ms, so </w:t>
      </w:r>
      <w:r>
        <w:rPr>
          <w:rFonts w:ascii="Times New Roman" w:hAnsi="Times New Roman" w:eastAsia="Times New Roman" w:cs="Times New Roman"/>
          <w:highlight w:val="none"/>
          <w:lang w:val="en-GB" w:eastAsia="ja-JP" w:bidi="ar-SA"/>
        </w:rPr>
        <w:t xml:space="preserve">floor(SFN_id/4) </w:t>
      </w:r>
      <w:r>
        <w:rPr>
          <w:rFonts w:hint="eastAsia" w:eastAsia="宋体" w:cs="Times New Roman"/>
          <w:highlight w:val="none"/>
          <w:lang w:val="en-US" w:eastAsia="zh-CN" w:bidi="ar-SA"/>
        </w:rPr>
        <w:t xml:space="preserve">is used for </w:t>
      </w:r>
      <w:r>
        <w:rPr>
          <w:rFonts w:ascii="Times New Roman" w:hAnsi="Times New Roman" w:eastAsia="Times New Roman" w:cs="Times New Roman"/>
          <w:highlight w:val="none"/>
          <w:lang w:val="en-GB" w:eastAsia="ja-JP" w:bidi="ar-SA"/>
        </w:rPr>
        <w:t xml:space="preserve">RA-RNTI </w:t>
      </w:r>
      <w:r>
        <w:rPr>
          <w:rFonts w:hint="eastAsia" w:eastAsia="宋体" w:cs="Times New Roman"/>
          <w:highlight w:val="none"/>
          <w:lang w:val="en-US" w:eastAsia="zh-CN" w:bidi="ar-SA"/>
        </w:rPr>
        <w:t>calculation[8]</w:t>
      </w:r>
      <w:r>
        <w:rPr>
          <w:rFonts w:hint="eastAsia" w:eastAsia="宋体"/>
          <w:kern w:val="0"/>
          <w:sz w:val="20"/>
          <w:szCs w:val="20"/>
          <w:highlight w:val="none"/>
          <w:lang w:val="en-US" w:eastAsia="zh-CN"/>
        </w:rPr>
        <w:t xml:space="preserve">. But in IoT NTN TDD, the minimal NPRACH periodicity has been changed to 90ms, theoretically, </w:t>
      </w:r>
      <w:r>
        <w:rPr>
          <w:rFonts w:ascii="Times New Roman" w:hAnsi="Times New Roman" w:eastAsia="Times New Roman" w:cs="Times New Roman"/>
          <w:highlight w:val="none"/>
          <w:lang w:val="en-GB" w:eastAsia="ja-JP" w:bidi="ar-SA"/>
        </w:rPr>
        <w:t>floor(SFN_id/</w:t>
      </w:r>
      <w:r>
        <w:rPr>
          <w:rFonts w:hint="eastAsia" w:eastAsia="宋体" w:cs="Times New Roman"/>
          <w:highlight w:val="none"/>
          <w:lang w:val="en-US" w:eastAsia="zh-CN" w:bidi="ar-SA"/>
        </w:rPr>
        <w:t>9</w:t>
      </w:r>
      <w:r>
        <w:rPr>
          <w:rFonts w:ascii="Times New Roman" w:hAnsi="Times New Roman" w:eastAsia="Times New Roman" w:cs="Times New Roman"/>
          <w:highlight w:val="none"/>
          <w:lang w:val="en-GB" w:eastAsia="ja-JP" w:bidi="ar-SA"/>
        </w:rPr>
        <w:t>)</w:t>
      </w:r>
      <w:r>
        <w:rPr>
          <w:rFonts w:hint="eastAsia" w:eastAsia="宋体" w:cs="Times New Roman"/>
          <w:highlight w:val="none"/>
          <w:lang w:val="en-US" w:eastAsia="zh-CN" w:bidi="ar-SA"/>
        </w:rPr>
        <w:t xml:space="preserve"> should be used for </w:t>
      </w:r>
      <w:r>
        <w:rPr>
          <w:rFonts w:ascii="Times New Roman" w:hAnsi="Times New Roman" w:eastAsia="Times New Roman" w:cs="Times New Roman"/>
          <w:highlight w:val="none"/>
          <w:lang w:val="en-GB" w:eastAsia="ja-JP" w:bidi="ar-SA"/>
        </w:rPr>
        <w:t xml:space="preserve">RA-RNTI </w:t>
      </w:r>
      <w:r>
        <w:rPr>
          <w:rFonts w:hint="eastAsia" w:eastAsia="宋体" w:cs="Times New Roman"/>
          <w:highlight w:val="none"/>
          <w:lang w:val="en-US" w:eastAsia="zh-CN" w:bidi="ar-SA"/>
        </w:rPr>
        <w:t xml:space="preserve">calculation, which can decrease the RA-RNTI number and save RNTI occupation. </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default" w:eastAsia="宋体"/>
          <w:b/>
          <w:bCs/>
          <w:kern w:val="0"/>
          <w:sz w:val="20"/>
          <w:szCs w:val="20"/>
          <w:highlight w:val="none"/>
          <w:lang w:val="en-US" w:eastAsia="zh-CN"/>
        </w:rPr>
      </w:pPr>
      <w:r>
        <w:rPr>
          <w:rFonts w:hint="eastAsia" w:eastAsia="宋体"/>
          <w:b/>
          <w:bCs/>
          <w:kern w:val="0"/>
          <w:sz w:val="20"/>
          <w:szCs w:val="20"/>
          <w:highlight w:val="none"/>
          <w:lang w:val="en-US" w:eastAsia="zh-CN"/>
        </w:rPr>
        <w:t>Proposal 5: RAN2 discusses whether to use floor (</w:t>
      </w:r>
      <w:r>
        <w:rPr>
          <w:rFonts w:hint="eastAsia" w:ascii="Times New Roman" w:hAnsi="Times New Roman" w:eastAsia="宋体" w:cs="Times New Roman"/>
          <w:b/>
          <w:bCs/>
          <w:szCs w:val="20"/>
          <w:highlight w:val="none"/>
          <w:lang w:val="en-US" w:eastAsia="zh-CN" w:bidi="ar-SA"/>
        </w:rPr>
        <w:t>SFN_id/</w:t>
      </w:r>
      <w:r>
        <w:rPr>
          <w:rFonts w:hint="eastAsia" w:eastAsia="宋体" w:cs="Times New Roman"/>
          <w:b/>
          <w:bCs/>
          <w:szCs w:val="20"/>
          <w:highlight w:val="none"/>
          <w:lang w:val="en-US" w:eastAsia="zh-CN" w:bidi="ar-SA"/>
        </w:rPr>
        <w:t>4</w:t>
      </w:r>
      <w:r>
        <w:rPr>
          <w:rFonts w:hint="eastAsia" w:eastAsia="宋体"/>
          <w:b/>
          <w:bCs/>
          <w:kern w:val="0"/>
          <w:sz w:val="20"/>
          <w:szCs w:val="20"/>
          <w:highlight w:val="none"/>
          <w:lang w:val="en-US" w:eastAsia="zh-CN"/>
        </w:rPr>
        <w:t xml:space="preserve">) or </w:t>
      </w:r>
      <w:r>
        <w:rPr>
          <w:rFonts w:hint="eastAsia" w:ascii="Times New Roman" w:hAnsi="Times New Roman" w:eastAsia="宋体" w:cs="Times New Roman"/>
          <w:b/>
          <w:bCs/>
          <w:szCs w:val="20"/>
          <w:highlight w:val="none"/>
          <w:lang w:val="en-US" w:eastAsia="zh-CN" w:bidi="ar-SA"/>
        </w:rPr>
        <w:t>floor(SFN_id/</w:t>
      </w:r>
      <w:r>
        <w:rPr>
          <w:rFonts w:hint="eastAsia" w:eastAsia="宋体" w:cs="Times New Roman"/>
          <w:b/>
          <w:bCs/>
          <w:szCs w:val="20"/>
          <w:highlight w:val="none"/>
          <w:lang w:val="en-US" w:eastAsia="zh-CN" w:bidi="ar-SA"/>
        </w:rPr>
        <w:t>9</w:t>
      </w:r>
      <w:r>
        <w:rPr>
          <w:rFonts w:hint="eastAsia" w:ascii="Times New Roman" w:hAnsi="Times New Roman" w:eastAsia="宋体" w:cs="Times New Roman"/>
          <w:b/>
          <w:bCs/>
          <w:szCs w:val="20"/>
          <w:highlight w:val="none"/>
          <w:lang w:val="en-US" w:eastAsia="zh-CN" w:bidi="ar-SA"/>
        </w:rPr>
        <w:t>)</w:t>
      </w:r>
      <w:r>
        <w:rPr>
          <w:rFonts w:hint="eastAsia" w:eastAsia="宋体" w:cs="Times New Roman"/>
          <w:b/>
          <w:bCs/>
          <w:szCs w:val="20"/>
          <w:highlight w:val="none"/>
          <w:lang w:val="en-US" w:eastAsia="zh-CN" w:bidi="ar-SA"/>
        </w:rPr>
        <w:t xml:space="preserve"> in </w:t>
      </w:r>
      <w:r>
        <w:rPr>
          <w:rFonts w:hint="eastAsia" w:ascii="Times New Roman" w:hAnsi="Times New Roman" w:eastAsia="宋体" w:cs="Times New Roman"/>
          <w:b/>
          <w:bCs/>
          <w:szCs w:val="20"/>
          <w:highlight w:val="none"/>
          <w:lang w:val="en-US" w:eastAsia="zh-CN" w:bidi="ar-SA"/>
        </w:rPr>
        <w:t xml:space="preserve">RA-RNTI </w:t>
      </w:r>
      <w:r>
        <w:rPr>
          <w:rFonts w:hint="eastAsia" w:eastAsia="宋体" w:cs="Times New Roman"/>
          <w:b/>
          <w:bCs/>
          <w:szCs w:val="20"/>
          <w:highlight w:val="none"/>
          <w:lang w:val="en-US" w:eastAsia="zh-CN" w:bidi="ar-SA"/>
        </w:rPr>
        <w:t>calculation.</w:t>
      </w:r>
      <w:r>
        <w:rPr>
          <w:rFonts w:hint="eastAsia" w:eastAsia="宋体"/>
          <w:b/>
          <w:bCs/>
          <w:kern w:val="0"/>
          <w:sz w:val="20"/>
          <w:szCs w:val="20"/>
          <w:highlight w:val="none"/>
          <w:lang w:val="en-US" w:eastAsia="zh-CN"/>
        </w:rPr>
        <w:t xml:space="preserve"> If </w:t>
      </w:r>
      <w:r>
        <w:rPr>
          <w:rFonts w:hint="eastAsia" w:ascii="Times New Roman" w:hAnsi="Times New Roman" w:eastAsia="宋体" w:cs="Times New Roman"/>
          <w:b/>
          <w:bCs/>
          <w:szCs w:val="20"/>
          <w:highlight w:val="none"/>
          <w:lang w:val="en-US" w:eastAsia="zh-CN" w:bidi="ar-SA"/>
        </w:rPr>
        <w:t>floor(SFN_id/</w:t>
      </w:r>
      <w:r>
        <w:rPr>
          <w:rFonts w:hint="eastAsia" w:eastAsia="宋体" w:cs="Times New Roman"/>
          <w:b/>
          <w:bCs/>
          <w:szCs w:val="20"/>
          <w:highlight w:val="none"/>
          <w:lang w:val="en-US" w:eastAsia="zh-CN" w:bidi="ar-SA"/>
        </w:rPr>
        <w:t>9</w:t>
      </w:r>
      <w:r>
        <w:rPr>
          <w:rFonts w:hint="eastAsia" w:ascii="Times New Roman" w:hAnsi="Times New Roman" w:eastAsia="宋体" w:cs="Times New Roman"/>
          <w:b/>
          <w:bCs/>
          <w:szCs w:val="20"/>
          <w:highlight w:val="none"/>
          <w:lang w:val="en-US" w:eastAsia="zh-CN" w:bidi="ar-SA"/>
        </w:rPr>
        <w:t>)</w:t>
      </w:r>
      <w:r>
        <w:rPr>
          <w:rFonts w:hint="eastAsia" w:eastAsia="宋体"/>
          <w:b/>
          <w:bCs/>
          <w:kern w:val="0"/>
          <w:sz w:val="20"/>
          <w:szCs w:val="20"/>
          <w:highlight w:val="none"/>
          <w:lang w:val="en-US" w:eastAsia="zh-CN"/>
        </w:rPr>
        <w:t xml:space="preserve"> is used, then </w:t>
      </w:r>
      <w:r>
        <w:rPr>
          <w:rFonts w:hint="eastAsia" w:cs="Times New Roman"/>
          <w:b/>
          <w:bCs/>
          <w:kern w:val="2"/>
          <w:sz w:val="20"/>
          <w:szCs w:val="20"/>
          <w:lang w:val="en-US" w:eastAsia="zh-CN"/>
        </w:rPr>
        <w:t>RA-RNTI = 1 + floor(SFN_id/9) + 114*(H-SFN mod 2), otherwise RA-RNTI = 1 + floor(SFN_id/4) + 256*(H-SFN mod 2).</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default" w:eastAsia="宋体"/>
          <w:kern w:val="0"/>
          <w:sz w:val="20"/>
          <w:szCs w:val="20"/>
          <w:highlight w:val="none"/>
          <w:vertAlign w:val="baseline"/>
          <w:lang w:val="en-US" w:eastAsia="zh-CN"/>
        </w:rPr>
      </w:pPr>
      <w:r>
        <w:rPr>
          <w:rFonts w:hint="eastAsia" w:eastAsia="宋体"/>
          <w:b w:val="0"/>
          <w:bCs w:val="0"/>
          <w:kern w:val="0"/>
          <w:sz w:val="20"/>
          <w:szCs w:val="20"/>
          <w:highlight w:val="none"/>
          <w:lang w:val="en-US" w:eastAsia="zh-CN"/>
        </w:rPr>
        <w:t>In TS 36.211[6], the NPRACH transmission occasion is defined as follows:</w:t>
      </w:r>
      <w:r>
        <w:rPr>
          <w:rFonts w:hint="eastAsia" w:eastAsia="宋体"/>
          <w:kern w:val="0"/>
          <w:sz w:val="20"/>
          <w:szCs w:val="20"/>
          <w:highlight w:val="none"/>
          <w:lang w:val="en-US" w:eastAsia="zh-CN"/>
        </w:rPr>
        <w:t xml:space="preserv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
              <w:widowControl/>
              <w:overflowPunct w:val="0"/>
              <w:autoSpaceDE w:val="0"/>
              <w:autoSpaceDN w:val="0"/>
              <w:adjustRightInd w:val="0"/>
              <w:spacing w:before="75" w:after="75" w:line="315" w:lineRule="atLeast"/>
              <w:jc w:val="left"/>
              <w:textAlignment w:val="baseline"/>
              <w:rPr>
                <w:rFonts w:hint="default" w:eastAsia="宋体"/>
                <w:kern w:val="0"/>
                <w:sz w:val="20"/>
                <w:szCs w:val="20"/>
                <w:highlight w:val="none"/>
                <w:vertAlign w:val="baseline"/>
                <w:lang w:val="en-US" w:eastAsia="zh-CN"/>
              </w:rPr>
            </w:pPr>
            <w:r>
              <w:rPr>
                <w:highlight w:val="none"/>
              </w:rPr>
              <w:t xml:space="preserve">NPRACH transmission can start only </w:t>
            </w:r>
            <w:r>
              <w:rPr>
                <w:position w:val="-10"/>
                <w:highlight w:val="none"/>
              </w:rPr>
              <w:object>
                <v:shape id="_x0000_i1025" o:spt="75" type="#_x0000_t75" style="height:14.25pt;width:79.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highlight w:val="none"/>
              </w:rPr>
              <w:t xml:space="preserve"> time units after the start of a radio frame fulfilling </w:t>
            </w:r>
            <w:r>
              <w:rPr>
                <w:position w:val="-14"/>
                <w:highlight w:val="none"/>
              </w:rPr>
              <w:object>
                <v:shape id="_x0000_i1026" o:spt="75" type="#_x0000_t75" style="height:21.75pt;width:10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highlight w:val="none"/>
              </w:rPr>
              <w:t>.</w:t>
            </w:r>
          </w:p>
        </w:tc>
      </w:tr>
    </w:tbl>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eastAsia="宋体"/>
          <w:kern w:val="0"/>
          <w:sz w:val="20"/>
          <w:szCs w:val="20"/>
          <w:highlight w:val="none"/>
          <w:lang w:val="en-US" w:eastAsia="zh-CN"/>
        </w:rPr>
      </w:pPr>
      <w:r>
        <w:rPr>
          <w:rFonts w:hint="eastAsia" w:eastAsia="宋体"/>
          <w:kern w:val="0"/>
          <w:sz w:val="20"/>
          <w:szCs w:val="20"/>
          <w:highlight w:val="none"/>
          <w:lang w:val="en-US" w:eastAsia="zh-CN"/>
        </w:rPr>
        <w:t xml:space="preserve">And in TS 36.321[8], </w:t>
      </w:r>
      <w:r>
        <w:rPr>
          <w:rFonts w:hint="default" w:eastAsia="宋体"/>
          <w:kern w:val="0"/>
          <w:sz w:val="20"/>
          <w:szCs w:val="20"/>
          <w:highlight w:val="none"/>
          <w:lang w:val="en-US" w:eastAsia="zh-CN"/>
        </w:rPr>
        <w:t>“</w:t>
      </w:r>
      <w:r>
        <w:rPr>
          <w:rFonts w:hint="eastAsia" w:eastAsia="宋体"/>
          <w:kern w:val="0"/>
          <w:sz w:val="20"/>
          <w:szCs w:val="20"/>
          <w:highlight w:val="none"/>
          <w:lang w:val="en-US" w:eastAsia="zh-CN"/>
        </w:rPr>
        <w:t xml:space="preserve">the </w:t>
      </w:r>
      <w:r>
        <w:rPr>
          <w:rFonts w:hint="default" w:eastAsia="宋体"/>
          <w:kern w:val="0"/>
          <w:sz w:val="20"/>
          <w:szCs w:val="20"/>
          <w:highlight w:val="none"/>
          <w:lang w:val="en-US" w:eastAsia="zh-CN"/>
        </w:rPr>
        <w:t>first radio frame of the specified PRACH”</w:t>
      </w:r>
      <w:r>
        <w:rPr>
          <w:rFonts w:hint="eastAsia" w:eastAsia="宋体"/>
          <w:kern w:val="0"/>
          <w:sz w:val="20"/>
          <w:szCs w:val="20"/>
          <w:highlight w:val="none"/>
          <w:lang w:val="en-US" w:eastAsia="zh-CN"/>
        </w:rPr>
        <w:t xml:space="preserve"> and </w:t>
      </w:r>
      <w:r>
        <w:rPr>
          <w:rFonts w:hint="default" w:eastAsia="宋体"/>
          <w:kern w:val="0"/>
          <w:sz w:val="20"/>
          <w:szCs w:val="20"/>
          <w:highlight w:val="none"/>
          <w:lang w:val="en-US" w:eastAsia="zh-CN"/>
        </w:rPr>
        <w:t>“</w:t>
      </w:r>
      <w:r>
        <w:rPr>
          <w:rFonts w:eastAsia="Times New Roman"/>
          <w:kern w:val="0"/>
          <w:sz w:val="20"/>
          <w:szCs w:val="20"/>
          <w:highlight w:val="none"/>
          <w:lang w:eastAsia="ja-JP"/>
        </w:rPr>
        <w:t>the first hyper frame of the specified PRACH</w:t>
      </w:r>
      <w:r>
        <w:rPr>
          <w:rFonts w:hint="default" w:eastAsia="宋体"/>
          <w:kern w:val="0"/>
          <w:sz w:val="20"/>
          <w:szCs w:val="20"/>
          <w:highlight w:val="none"/>
          <w:lang w:val="en-US" w:eastAsia="zh-CN"/>
        </w:rPr>
        <w:t>”</w:t>
      </w:r>
      <w:r>
        <w:rPr>
          <w:rFonts w:hint="eastAsia" w:eastAsia="宋体"/>
          <w:kern w:val="0"/>
          <w:sz w:val="20"/>
          <w:szCs w:val="20"/>
          <w:highlight w:val="none"/>
          <w:lang w:val="en-US" w:eastAsia="zh-CN"/>
        </w:rPr>
        <w:t xml:space="preserve"> are used for the RA-RNTI, we understand </w:t>
      </w:r>
      <w:r>
        <w:rPr>
          <w:rFonts w:hint="default" w:eastAsia="宋体"/>
          <w:kern w:val="0"/>
          <w:sz w:val="20"/>
          <w:szCs w:val="20"/>
          <w:highlight w:val="none"/>
          <w:lang w:val="en-US" w:eastAsia="zh-CN"/>
        </w:rPr>
        <w:t>“</w:t>
      </w:r>
      <w:r>
        <w:rPr>
          <w:rFonts w:hint="eastAsia" w:eastAsia="宋体"/>
          <w:kern w:val="0"/>
          <w:sz w:val="20"/>
          <w:szCs w:val="20"/>
          <w:highlight w:val="none"/>
          <w:lang w:val="en-US" w:eastAsia="zh-CN"/>
        </w:rPr>
        <w:t xml:space="preserve">the </w:t>
      </w:r>
      <w:r>
        <w:rPr>
          <w:rFonts w:hint="default" w:eastAsia="宋体"/>
          <w:kern w:val="0"/>
          <w:sz w:val="20"/>
          <w:szCs w:val="20"/>
          <w:highlight w:val="none"/>
          <w:lang w:val="en-US" w:eastAsia="zh-CN"/>
        </w:rPr>
        <w:t>first radio frame of the specified PRACH”</w:t>
      </w:r>
      <w:r>
        <w:rPr>
          <w:rFonts w:hint="eastAsia" w:eastAsia="宋体"/>
          <w:kern w:val="0"/>
          <w:sz w:val="20"/>
          <w:szCs w:val="20"/>
          <w:highlight w:val="none"/>
          <w:lang w:val="en-US" w:eastAsia="zh-CN"/>
        </w:rPr>
        <w:t xml:space="preserve"> and </w:t>
      </w:r>
      <w:r>
        <w:rPr>
          <w:rFonts w:hint="default" w:eastAsia="宋体"/>
          <w:kern w:val="0"/>
          <w:sz w:val="20"/>
          <w:szCs w:val="20"/>
          <w:highlight w:val="none"/>
          <w:lang w:val="en-US" w:eastAsia="zh-CN"/>
        </w:rPr>
        <w:t>“</w:t>
      </w:r>
      <w:r>
        <w:rPr>
          <w:rFonts w:eastAsia="Times New Roman"/>
          <w:kern w:val="0"/>
          <w:sz w:val="20"/>
          <w:szCs w:val="20"/>
          <w:highlight w:val="none"/>
          <w:lang w:eastAsia="ja-JP"/>
        </w:rPr>
        <w:t>the first hyper frame of the specified PRACH</w:t>
      </w:r>
      <w:r>
        <w:rPr>
          <w:rFonts w:hint="default" w:eastAsia="宋体"/>
          <w:kern w:val="0"/>
          <w:sz w:val="20"/>
          <w:szCs w:val="20"/>
          <w:highlight w:val="none"/>
          <w:lang w:val="en-US" w:eastAsia="zh-CN"/>
        </w:rPr>
        <w:t>”</w:t>
      </w:r>
      <w:r>
        <w:rPr>
          <w:rFonts w:hint="eastAsia" w:eastAsia="宋体"/>
          <w:kern w:val="0"/>
          <w:sz w:val="20"/>
          <w:szCs w:val="20"/>
          <w:highlight w:val="none"/>
          <w:lang w:val="en-US" w:eastAsia="zh-CN"/>
        </w:rPr>
        <w:t xml:space="preserve"> is the first SFN and first H-SFN where the NPRACH is transmitted, the same mechanism can be used for IoT NTN TDD. Since the NPRACH transmission occasion is described in RAN1(e.g. TS 36.211), RAN2 can still use the </w:t>
      </w:r>
      <w:r>
        <w:rPr>
          <w:rFonts w:hint="default" w:eastAsia="宋体"/>
          <w:kern w:val="0"/>
          <w:sz w:val="20"/>
          <w:szCs w:val="20"/>
          <w:highlight w:val="none"/>
          <w:lang w:val="en-US" w:eastAsia="zh-CN"/>
        </w:rPr>
        <w:t>“</w:t>
      </w:r>
      <w:r>
        <w:rPr>
          <w:rFonts w:hint="eastAsia" w:eastAsia="宋体"/>
          <w:kern w:val="0"/>
          <w:sz w:val="20"/>
          <w:szCs w:val="20"/>
          <w:highlight w:val="none"/>
          <w:lang w:val="en-US" w:eastAsia="zh-CN"/>
        </w:rPr>
        <w:t xml:space="preserve">the </w:t>
      </w:r>
      <w:r>
        <w:rPr>
          <w:rFonts w:hint="default" w:eastAsia="宋体"/>
          <w:kern w:val="0"/>
          <w:sz w:val="20"/>
          <w:szCs w:val="20"/>
          <w:highlight w:val="none"/>
          <w:lang w:val="en-US" w:eastAsia="zh-CN"/>
        </w:rPr>
        <w:t>first radio frame of the specified PRACH”</w:t>
      </w:r>
      <w:r>
        <w:rPr>
          <w:rFonts w:hint="eastAsia" w:eastAsia="宋体"/>
          <w:kern w:val="0"/>
          <w:sz w:val="20"/>
          <w:szCs w:val="20"/>
          <w:highlight w:val="none"/>
          <w:lang w:val="en-US" w:eastAsia="zh-CN"/>
        </w:rPr>
        <w:t xml:space="preserve"> and </w:t>
      </w:r>
      <w:r>
        <w:rPr>
          <w:rFonts w:hint="default" w:eastAsia="宋体"/>
          <w:kern w:val="0"/>
          <w:sz w:val="20"/>
          <w:szCs w:val="20"/>
          <w:highlight w:val="none"/>
          <w:lang w:val="en-US" w:eastAsia="zh-CN"/>
        </w:rPr>
        <w:t>“</w:t>
      </w:r>
      <w:r>
        <w:rPr>
          <w:rFonts w:eastAsia="Times New Roman"/>
          <w:kern w:val="0"/>
          <w:sz w:val="20"/>
          <w:szCs w:val="20"/>
          <w:highlight w:val="none"/>
          <w:lang w:eastAsia="ja-JP"/>
        </w:rPr>
        <w:t>the first hyper frame of the specified PRACH</w:t>
      </w:r>
      <w:r>
        <w:rPr>
          <w:rFonts w:hint="default" w:eastAsia="宋体"/>
          <w:kern w:val="0"/>
          <w:sz w:val="20"/>
          <w:szCs w:val="20"/>
          <w:highlight w:val="none"/>
          <w:lang w:val="en-US" w:eastAsia="zh-CN"/>
        </w:rPr>
        <w:t>”</w:t>
      </w:r>
      <w:r>
        <w:rPr>
          <w:rFonts w:hint="eastAsia" w:eastAsia="宋体"/>
          <w:kern w:val="0"/>
          <w:sz w:val="20"/>
          <w:szCs w:val="20"/>
          <w:highlight w:val="none"/>
          <w:lang w:val="en-US" w:eastAsia="zh-CN"/>
        </w:rPr>
        <w:t xml:space="preserve"> for RA-RNTI calculation.</w:t>
      </w:r>
    </w:p>
    <w:p>
      <w:pPr>
        <w:pStyle w:val="2"/>
        <w:widowControl/>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default" w:eastAsia="宋体"/>
          <w:b/>
          <w:bCs/>
          <w:kern w:val="0"/>
          <w:sz w:val="20"/>
          <w:szCs w:val="20"/>
          <w:highlight w:val="none"/>
          <w:lang w:val="en-US" w:eastAsia="zh-CN"/>
        </w:rPr>
      </w:pPr>
      <w:r>
        <w:rPr>
          <w:rFonts w:hint="eastAsia" w:eastAsia="宋体"/>
          <w:b/>
          <w:bCs/>
          <w:kern w:val="0"/>
          <w:sz w:val="20"/>
          <w:szCs w:val="20"/>
          <w:highlight w:val="none"/>
          <w:lang w:val="en-US" w:eastAsia="zh-CN"/>
        </w:rPr>
        <w:t xml:space="preserve">Proposal 6: Use the existing terminology </w:t>
      </w:r>
      <w:r>
        <w:rPr>
          <w:rFonts w:hint="default" w:eastAsia="宋体"/>
          <w:b/>
          <w:bCs/>
          <w:kern w:val="0"/>
          <w:sz w:val="20"/>
          <w:szCs w:val="20"/>
          <w:highlight w:val="none"/>
          <w:lang w:val="en-US" w:eastAsia="zh-CN"/>
        </w:rPr>
        <w:t>“</w:t>
      </w:r>
      <w:r>
        <w:rPr>
          <w:rFonts w:hint="eastAsia" w:eastAsia="宋体"/>
          <w:b/>
          <w:bCs/>
          <w:kern w:val="0"/>
          <w:sz w:val="20"/>
          <w:szCs w:val="20"/>
          <w:highlight w:val="none"/>
          <w:lang w:val="en-US" w:eastAsia="zh-CN"/>
        </w:rPr>
        <w:t xml:space="preserve">the </w:t>
      </w:r>
      <w:r>
        <w:rPr>
          <w:rFonts w:hint="default" w:eastAsia="宋体"/>
          <w:b/>
          <w:bCs/>
          <w:kern w:val="0"/>
          <w:sz w:val="20"/>
          <w:szCs w:val="20"/>
          <w:highlight w:val="none"/>
          <w:lang w:val="en-US" w:eastAsia="zh-CN"/>
        </w:rPr>
        <w:t>first radio frame of the specified PRACH”</w:t>
      </w:r>
      <w:r>
        <w:rPr>
          <w:rFonts w:hint="eastAsia" w:eastAsia="宋体"/>
          <w:b/>
          <w:bCs/>
          <w:kern w:val="0"/>
          <w:sz w:val="20"/>
          <w:szCs w:val="20"/>
          <w:highlight w:val="none"/>
          <w:lang w:val="en-US" w:eastAsia="zh-CN"/>
        </w:rPr>
        <w:t xml:space="preserve"> and </w:t>
      </w:r>
      <w:r>
        <w:rPr>
          <w:rFonts w:hint="default" w:eastAsia="宋体"/>
          <w:b/>
          <w:bCs/>
          <w:kern w:val="0"/>
          <w:sz w:val="20"/>
          <w:szCs w:val="20"/>
          <w:highlight w:val="none"/>
          <w:lang w:val="en-US" w:eastAsia="zh-CN"/>
        </w:rPr>
        <w:t>“</w:t>
      </w:r>
      <w:r>
        <w:rPr>
          <w:rFonts w:eastAsia="Times New Roman"/>
          <w:b/>
          <w:bCs/>
          <w:kern w:val="0"/>
          <w:sz w:val="20"/>
          <w:szCs w:val="20"/>
          <w:highlight w:val="none"/>
          <w:lang w:eastAsia="ja-JP"/>
        </w:rPr>
        <w:t>the first hyper frame of the specified PRACH</w:t>
      </w:r>
      <w:r>
        <w:rPr>
          <w:rFonts w:hint="default" w:eastAsia="宋体"/>
          <w:b/>
          <w:bCs/>
          <w:kern w:val="0"/>
          <w:sz w:val="20"/>
          <w:szCs w:val="20"/>
          <w:highlight w:val="none"/>
          <w:lang w:val="en-US" w:eastAsia="zh-CN"/>
        </w:rPr>
        <w:t>”</w:t>
      </w:r>
      <w:r>
        <w:rPr>
          <w:rFonts w:hint="eastAsia" w:eastAsia="宋体"/>
          <w:b/>
          <w:bCs/>
          <w:kern w:val="0"/>
          <w:sz w:val="20"/>
          <w:szCs w:val="20"/>
          <w:highlight w:val="none"/>
          <w:lang w:val="en-US" w:eastAsia="zh-CN"/>
        </w:rPr>
        <w:t xml:space="preserve"> for RA-RNTI calculation. </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0"/>
          <w:szCs w:val="20"/>
          <w:lang w:val="en-US" w:eastAsia="zh-CN"/>
        </w:rPr>
      </w:pPr>
      <w:r>
        <w:rPr>
          <w:rFonts w:hint="eastAsia" w:cs="Arial"/>
          <w:b/>
          <w:bCs/>
          <w:kern w:val="0"/>
          <w:sz w:val="20"/>
          <w:szCs w:val="20"/>
          <w:lang w:val="en-US" w:eastAsia="zh-CN"/>
        </w:rPr>
        <w:t>Issue 3: About SI scheduling impact</w:t>
      </w:r>
    </w:p>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 xml:space="preserve">In RAN1#120 meeting[4], the following conclusion has been made: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overflowPunct w:val="0"/>
              <w:autoSpaceDE w:val="0"/>
              <w:autoSpaceDN w:val="0"/>
              <w:adjustRightInd w:val="0"/>
              <w:spacing w:after="0" w:line="240" w:lineRule="auto"/>
              <w:contextualSpacing/>
              <w:jc w:val="left"/>
              <w:textAlignment w:val="baseline"/>
              <w:rPr>
                <w:rFonts w:ascii="Times" w:hAnsi="Times" w:eastAsia="宋体" w:cs="Times New Roman"/>
                <w:b/>
                <w:bCs/>
                <w:kern w:val="0"/>
                <w:sz w:val="20"/>
                <w:szCs w:val="24"/>
                <w:highlight w:val="none"/>
                <w:lang w:eastAsia="zh-CN"/>
              </w:rPr>
            </w:pPr>
            <w:r>
              <w:rPr>
                <w:rFonts w:ascii="Times" w:hAnsi="Times" w:eastAsia="宋体" w:cs="Times New Roman"/>
                <w:b/>
                <w:bCs/>
                <w:kern w:val="0"/>
                <w:sz w:val="20"/>
                <w:szCs w:val="24"/>
                <w:highlight w:val="none"/>
                <w:lang w:eastAsia="zh-CN"/>
              </w:rPr>
              <w:t>Conclusion</w:t>
            </w:r>
          </w:p>
          <w:p>
            <w:pPr>
              <w:pStyle w:val="53"/>
              <w:numPr>
                <w:ilvl w:val="255"/>
                <w:numId w:val="0"/>
              </w:numPr>
              <w:spacing w:before="75" w:beforeAutospacing="0" w:after="75" w:afterAutospacing="0" w:line="315" w:lineRule="atLeast"/>
              <w:rPr>
                <w:rFonts w:hint="default"/>
                <w:b w:val="0"/>
                <w:bCs/>
                <w:kern w:val="2"/>
                <w:sz w:val="21"/>
                <w:szCs w:val="24"/>
                <w:vertAlign w:val="baseline"/>
                <w:lang w:val="en-US" w:eastAsia="zh-CN"/>
              </w:rPr>
            </w:pPr>
            <w:r>
              <w:rPr>
                <w:rFonts w:ascii="Times" w:hAnsi="Times" w:eastAsia="Batang" w:cs="Times New Roman"/>
                <w:kern w:val="0"/>
                <w:sz w:val="20"/>
                <w:szCs w:val="24"/>
                <w:highlight w:val="none"/>
                <w:lang w:val="en-US" w:eastAsia="en-US"/>
              </w:rPr>
              <w:t>It is RAN1’s understanding that the issue of scheduling and transmitting SI messages in the presence of non-D subframes will be solved mainly (or completely) by RAN2 specifications. RAN1 may discuss potential impact on RAN1 specifications, if any.</w:t>
            </w:r>
          </w:p>
        </w:tc>
      </w:tr>
    </w:tbl>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In the current specification[7], the SIs are scheduled by SIB1 based on the following time domain related parameters: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si-WindowLength-r13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{ms160, ms320, ms480, ms640,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ms960, ms1280, ms1600,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highlight w:val="yellow"/>
                <w:lang w:val="en-GB" w:eastAsia="ja-JP" w:bidi="ar-SA"/>
              </w:rPr>
              <w:t>si-RadioFrameOffset-r13</w:t>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INTEGER (1..15)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SchedulingInfo-NB-r13::=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si-Periodicity-r13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w:t>
            </w:r>
            <w:r>
              <w:rPr>
                <w:rFonts w:ascii="Courier New" w:hAnsi="Courier New" w:eastAsia="Times New Roman" w:cs="Times New Roman"/>
                <w:sz w:val="16"/>
                <w:lang w:val="en-GB" w:eastAsia="zh-TW" w:bidi="ar-SA"/>
              </w:rPr>
              <w:t xml:space="preserve">rf64, rf128, </w:t>
            </w:r>
            <w:r>
              <w:rPr>
                <w:rFonts w:ascii="Courier New" w:hAnsi="Courier New" w:eastAsia="Times New Roman" w:cs="Times New Roman"/>
                <w:sz w:val="16"/>
                <w:lang w:val="en-GB" w:eastAsia="ja-JP" w:bidi="ar-SA"/>
              </w:rPr>
              <w:t>rf256, rf512,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rf1024, rf2048, rf4096, spare},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highlight w:val="yellow"/>
                <w:lang w:val="en-GB" w:eastAsia="ja-JP" w:bidi="ar-SA"/>
              </w:rPr>
              <w:t>si-RepetitionPattern-r13</w:t>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ENUMERATED {every2ndRF, every4thRF, every8thRF, every16thRF}</w:t>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ja-JP" w:bidi="ar-SA"/>
              </w:rPr>
              <w:tab/>
            </w:r>
            <w:r>
              <w:rPr>
                <w:rFonts w:hint="eastAsia" w:ascii="Courier New" w:hAnsi="Courier New" w:eastAsia="宋体" w:cs="Times New Roman"/>
                <w:sz w:val="16"/>
                <w:lang w:val="en-US" w:eastAsia="zh-CN" w:bidi="ar-SA"/>
              </w:rPr>
              <w:t>...</w:t>
            </w:r>
          </w:p>
          <w:p>
            <w:pPr>
              <w:numPr>
                <w:ilvl w:val="-1"/>
                <w:numId w:val="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textAlignment w:val="baseline"/>
              <w:rPr>
                <w:rFonts w:hint="default"/>
                <w:b w:val="0"/>
                <w:bCs/>
                <w:kern w:val="2"/>
                <w:sz w:val="21"/>
                <w:szCs w:val="24"/>
                <w:vertAlign w:val="baseline"/>
                <w:lang w:val="en-US" w:eastAsia="zh-CN"/>
              </w:rPr>
            </w:pPr>
            <w:r>
              <w:rPr>
                <w:rFonts w:ascii="Courier New" w:hAnsi="Courier New" w:eastAsia="Times New Roman" w:cs="Times New Roman"/>
                <w:sz w:val="16"/>
                <w:lang w:val="en-GB" w:eastAsia="ja-JP" w:bidi="ar-SA"/>
              </w:rPr>
              <w:t>}</w:t>
            </w:r>
          </w:p>
        </w:tc>
      </w:tr>
    </w:tbl>
    <w:p>
      <w:pPr>
        <w:pStyle w:val="53"/>
        <w:numPr>
          <w:ilvl w:val="255"/>
          <w:numId w:val="0"/>
        </w:numPr>
        <w:spacing w:before="75" w:beforeAutospacing="0" w:after="75" w:afterAutospacing="0" w:line="315" w:lineRule="atLeast"/>
        <w:rPr>
          <w:rFonts w:hint="default" w:ascii="Times New Roman" w:hAnsi="Times New Roman" w:eastAsia="宋体" w:cs="Times New Roman"/>
          <w:bCs/>
          <w:kern w:val="0"/>
          <w:sz w:val="20"/>
          <w:szCs w:val="20"/>
          <w:lang w:val="en-US" w:eastAsia="zh-CN"/>
        </w:rPr>
      </w:pPr>
      <w:r>
        <w:rPr>
          <w:rFonts w:hint="default"/>
          <w:b w:val="0"/>
          <w:bCs/>
          <w:kern w:val="2"/>
          <w:sz w:val="20"/>
          <w:szCs w:val="20"/>
          <w:lang w:val="en-US" w:eastAsia="zh-CN"/>
        </w:rPr>
        <w:t xml:space="preserve">Considering there is only 8 consecutive DL radio subframes in 90ms </w:t>
      </w:r>
      <w:r>
        <w:rPr>
          <w:rFonts w:ascii="Times New Roman" w:hAnsi="Times New Roman" w:eastAsia="Batang" w:cs="Times New Roman"/>
          <w:bCs/>
          <w:kern w:val="0"/>
          <w:sz w:val="20"/>
          <w:szCs w:val="20"/>
          <w:lang w:val="en-US" w:eastAsia="en-US"/>
        </w:rPr>
        <w:t>TDD structure</w:t>
      </w:r>
      <w:r>
        <w:rPr>
          <w:rFonts w:hint="default" w:ascii="Times New Roman" w:hAnsi="Times New Roman" w:eastAsia="宋体" w:cs="Times New Roman"/>
          <w:bCs/>
          <w:kern w:val="0"/>
          <w:sz w:val="20"/>
          <w:szCs w:val="20"/>
          <w:lang w:val="en-US" w:eastAsia="zh-CN"/>
        </w:rPr>
        <w:t>, the si-RepetitionPattern with every2ndRF, every4thRF or every8thRF will lead the SI repetition useless(e.g. SI repetition in non-DL subframes), which need to be enhanced to include value range with multiple 90ms, e.g. with value range of every9thRF, every18thRF, every36thRF etc.</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7</w:t>
      </w:r>
      <w:r>
        <w:rPr>
          <w:rFonts w:hint="default"/>
          <w:b/>
          <w:bCs w:val="0"/>
          <w:kern w:val="2"/>
          <w:sz w:val="20"/>
          <w:szCs w:val="20"/>
          <w:lang w:val="en-US" w:eastAsia="zh-CN"/>
        </w:rPr>
        <w:t>: Define value range with multiple 90ms for si-RepetitionPattern, e.g. with value range of every9thRF, every18thRF, every36thRF etc.</w:t>
      </w:r>
    </w:p>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In RAN1#120 meeting[3], the following agreement has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highlight w:val="green"/>
                <w:lang w:eastAsia="zh-CN"/>
              </w:rPr>
              <w:t>Agreement</w:t>
            </w:r>
          </w:p>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 xml:space="preserve">NPSS/NSSS/NPBCH transmissions are dropped in non-D NB-IoT subframes </w:t>
            </w:r>
          </w:p>
          <w:p>
            <w:pPr>
              <w:pStyle w:val="53"/>
              <w:numPr>
                <w:ilvl w:val="0"/>
                <w:numId w:val="6"/>
              </w:numPr>
              <w:spacing w:before="75" w:beforeAutospacing="0" w:after="75" w:afterAutospacing="0" w:line="315" w:lineRule="atLeast"/>
              <w:ind w:left="420" w:hanging="420"/>
              <w:rPr>
                <w:rFonts w:hint="default"/>
                <w:b w:val="0"/>
                <w:bCs/>
                <w:kern w:val="2"/>
                <w:sz w:val="21"/>
                <w:szCs w:val="24"/>
                <w:vertAlign w:val="baseline"/>
                <w:lang w:val="en-US" w:eastAsia="zh-CN"/>
              </w:rPr>
            </w:pPr>
            <w:r>
              <w:rPr>
                <w:rFonts w:ascii="Times New Roman" w:hAnsi="Times New Roman" w:eastAsia="Batang" w:cs="Times New Roman"/>
                <w:kern w:val="0"/>
                <w:sz w:val="20"/>
                <w:szCs w:val="20"/>
                <w:lang w:eastAsia="zh-CN"/>
              </w:rPr>
              <w:t>NOTE: “non-D NB-IoT subframes” are subframes not contained within the set of D=8 usable consecutive downlink subframes in the TDD structure.</w:t>
            </w:r>
          </w:p>
        </w:tc>
      </w:tr>
    </w:tbl>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In RAN1#120bis meeting[5], the following agreement has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1"/>
                <w:numId w:val="0"/>
              </w:numPr>
              <w:overflowPunct w:val="0"/>
              <w:autoSpaceDE w:val="0"/>
              <w:autoSpaceDN w:val="0"/>
              <w:adjustRightInd w:val="0"/>
              <w:spacing w:after="180"/>
              <w:ind w:left="0" w:firstLine="0"/>
              <w:contextualSpacing/>
              <w:textAlignment w:val="baseline"/>
            </w:pPr>
            <w:r>
              <w:rPr>
                <w:highlight w:val="green"/>
              </w:rPr>
              <w:t>Agreement</w:t>
            </w:r>
          </w:p>
          <w:p>
            <w:pPr>
              <w:numPr>
                <w:ilvl w:val="-1"/>
                <w:numId w:val="0"/>
              </w:numPr>
              <w:overflowPunct w:val="0"/>
              <w:autoSpaceDE w:val="0"/>
              <w:autoSpaceDN w:val="0"/>
              <w:adjustRightInd w:val="0"/>
              <w:spacing w:after="180"/>
              <w:ind w:left="360" w:firstLine="0"/>
              <w:contextualSpacing/>
              <w:textAlignment w:val="baseline"/>
              <w:rPr>
                <w:bCs/>
              </w:rPr>
            </w:pPr>
            <w:r>
              <w:rPr>
                <w:bCs/>
              </w:rPr>
              <w:t>SIB1-NB is dropped in non-D NB-IoT subframes</w:t>
            </w:r>
          </w:p>
          <w:p>
            <w:pPr>
              <w:numPr>
                <w:ilvl w:val="0"/>
                <w:numId w:val="7"/>
              </w:numPr>
              <w:overflowPunct w:val="0"/>
              <w:autoSpaceDE w:val="0"/>
              <w:autoSpaceDN w:val="0"/>
              <w:adjustRightInd w:val="0"/>
              <w:spacing w:after="180"/>
              <w:contextualSpacing/>
              <w:textAlignment w:val="baseline"/>
              <w:rPr>
                <w:bCs/>
                <w:color w:val="000000"/>
                <w:lang w:eastAsia="zh-CN"/>
              </w:rPr>
            </w:pPr>
            <w:r>
              <w:rPr>
                <w:bCs/>
                <w:color w:val="000000"/>
                <w:lang w:eastAsia="zh-CN"/>
              </w:rPr>
              <w:t>NOTE 1: “non-D NB-IoT subframes” are subframes not contained within the set of D=8 usable consecutive downlink subframes in the TDD structure.</w:t>
            </w:r>
          </w:p>
          <w:p>
            <w:pPr>
              <w:numPr>
                <w:ilvl w:val="0"/>
                <w:numId w:val="7"/>
              </w:numPr>
              <w:overflowPunct w:val="0"/>
              <w:autoSpaceDE w:val="0"/>
              <w:autoSpaceDN w:val="0"/>
              <w:adjustRightInd w:val="0"/>
              <w:spacing w:before="75" w:beforeAutospacing="0" w:after="180" w:afterAutospacing="0" w:line="315" w:lineRule="atLeast"/>
              <w:ind w:left="420"/>
              <w:contextualSpacing/>
              <w:textAlignment w:val="baseline"/>
              <w:rPr>
                <w:rFonts w:hint="default"/>
                <w:b w:val="0"/>
                <w:bCs/>
                <w:kern w:val="2"/>
                <w:sz w:val="21"/>
                <w:szCs w:val="24"/>
                <w:vertAlign w:val="baseline"/>
                <w:lang w:val="en-US" w:eastAsia="zh-CN"/>
              </w:rPr>
            </w:pPr>
            <w:r>
              <w:rPr>
                <w:bCs/>
                <w:color w:val="000000"/>
                <w:lang w:eastAsia="zh-CN"/>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tc>
      </w:tr>
    </w:tbl>
    <w:p>
      <w:pPr>
        <w:pStyle w:val="2"/>
        <w:rPr>
          <w:rFonts w:hint="default"/>
          <w:lang w:val="en-US" w:eastAsia="zh-CN"/>
        </w:rPr>
      </w:pPr>
      <w:r>
        <w:rPr>
          <w:rFonts w:hint="eastAsia"/>
          <w:lang w:val="en-US" w:eastAsia="zh-CN"/>
        </w:rPr>
        <w:t xml:space="preserve">Similar as MIB and SIB1 mechanism, SI transmission can be dropped in </w:t>
      </w:r>
      <w:r>
        <w:rPr>
          <w:bCs/>
        </w:rPr>
        <w:t>non-D NB-IoT subframes</w:t>
      </w:r>
      <w:r>
        <w:rPr>
          <w:rFonts w:hint="eastAsia" w:eastAsia="宋体"/>
          <w:bCs/>
          <w:lang w:val="en-US" w:eastAsia="zh-CN"/>
        </w:rPr>
        <w:t>, and the SI-Window determination can follow the legacy NB-IoT mechanism.</w:t>
      </w:r>
      <w:r>
        <w:rPr>
          <w:rFonts w:hint="eastAsia"/>
          <w:lang w:val="en-US" w:eastAsia="zh-CN"/>
        </w:rPr>
        <w:t xml:space="preserve"> </w:t>
      </w:r>
    </w:p>
    <w:p>
      <w:pPr>
        <w:rPr>
          <w:rFonts w:hint="default"/>
          <w:b/>
          <w:bCs/>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8</w:t>
      </w:r>
      <w:r>
        <w:rPr>
          <w:rFonts w:hint="default"/>
          <w:b/>
          <w:bCs w:val="0"/>
          <w:kern w:val="2"/>
          <w:sz w:val="20"/>
          <w:szCs w:val="20"/>
          <w:lang w:val="en-US" w:eastAsia="zh-CN"/>
        </w:rPr>
        <w:t xml:space="preserve">: </w:t>
      </w:r>
      <w:r>
        <w:rPr>
          <w:rFonts w:hint="eastAsia"/>
          <w:b/>
          <w:bCs/>
          <w:lang w:val="en-US" w:eastAsia="zh-CN"/>
        </w:rPr>
        <w:t xml:space="preserve">SI transmission can be dropped in </w:t>
      </w:r>
      <w:r>
        <w:rPr>
          <w:b/>
          <w:bCs/>
        </w:rPr>
        <w:t>non-D NB-IoT subframes</w:t>
      </w:r>
      <w:r>
        <w:rPr>
          <w:rFonts w:hint="eastAsia" w:eastAsia="宋体"/>
          <w:b/>
          <w:bCs/>
          <w:lang w:val="en-US" w:eastAsia="zh-CN"/>
        </w:rPr>
        <w:t>, and the SI-Window determination can follow the legacy NB-IoT mechanism</w:t>
      </w:r>
      <w:r>
        <w:rPr>
          <w:rFonts w:hint="default"/>
          <w:b/>
          <w:bCs/>
          <w:kern w:val="2"/>
          <w:sz w:val="20"/>
          <w:szCs w:val="20"/>
          <w:lang w:val="en-US" w:eastAsia="zh-CN"/>
        </w:rPr>
        <w:t>.</w:t>
      </w:r>
    </w:p>
    <w:p>
      <w:pPr>
        <w:pStyle w:val="53"/>
        <w:numPr>
          <w:ilvl w:val="255"/>
          <w:numId w:val="0"/>
        </w:numPr>
        <w:spacing w:before="75" w:beforeAutospacing="0" w:after="75" w:afterAutospacing="0" w:line="315" w:lineRule="atLeast"/>
        <w:rPr>
          <w:rFonts w:hint="default"/>
          <w:i/>
          <w:iCs/>
          <w:kern w:val="2"/>
          <w:sz w:val="20"/>
          <w:szCs w:val="20"/>
          <w:u w:val="none"/>
          <w:lang w:val="en-US" w:eastAsia="zh-CN"/>
        </w:rPr>
      </w:pPr>
      <w:r>
        <w:rPr>
          <w:rFonts w:hint="default" w:ascii="Times New Roman" w:hAnsi="Times New Roman" w:eastAsia="宋体" w:cs="Times New Roman"/>
          <w:bCs/>
          <w:kern w:val="0"/>
          <w:sz w:val="20"/>
          <w:szCs w:val="20"/>
          <w:lang w:val="en-US" w:eastAsia="zh-CN"/>
        </w:rPr>
        <w:t>When supporting TDD for NB-IoT in Rel-15, si-WindowLength has not been extended. Considering that maximal value of 1600ms is long enough to successfully decod</w:t>
      </w:r>
      <w:r>
        <w:rPr>
          <w:rFonts w:hint="eastAsia" w:eastAsia="宋体" w:cs="Times New Roman"/>
          <w:bCs/>
          <w:kern w:val="0"/>
          <w:sz w:val="20"/>
          <w:szCs w:val="20"/>
          <w:lang w:val="en-US" w:eastAsia="zh-CN"/>
        </w:rPr>
        <w:t>e</w:t>
      </w:r>
      <w:r>
        <w:rPr>
          <w:rFonts w:hint="default" w:ascii="Times New Roman" w:hAnsi="Times New Roman" w:eastAsia="宋体" w:cs="Times New Roman"/>
          <w:bCs/>
          <w:kern w:val="0"/>
          <w:sz w:val="20"/>
          <w:szCs w:val="20"/>
          <w:lang w:val="en-US" w:eastAsia="zh-CN"/>
        </w:rPr>
        <w:t xml:space="preserve"> one SI message, the si-WindowLength </w:t>
      </w:r>
      <w:r>
        <w:rPr>
          <w:rFonts w:hint="eastAsia" w:eastAsia="宋体" w:cs="Times New Roman"/>
          <w:bCs/>
          <w:kern w:val="0"/>
          <w:sz w:val="20"/>
          <w:szCs w:val="20"/>
          <w:lang w:val="en-US" w:eastAsia="zh-CN"/>
        </w:rPr>
        <w:t xml:space="preserve">does not </w:t>
      </w:r>
      <w:r>
        <w:rPr>
          <w:rFonts w:hint="default" w:ascii="Times New Roman" w:hAnsi="Times New Roman" w:eastAsia="宋体" w:cs="Times New Roman"/>
          <w:bCs/>
          <w:kern w:val="0"/>
          <w:sz w:val="20"/>
          <w:szCs w:val="20"/>
          <w:lang w:val="en-US" w:eastAsia="zh-CN"/>
        </w:rPr>
        <w:t>need be extended.</w:t>
      </w:r>
    </w:p>
    <w:p>
      <w:pPr>
        <w:rPr>
          <w:rFonts w:hint="default"/>
          <w:b/>
          <w:bCs w:val="0"/>
          <w:kern w:val="2"/>
          <w:sz w:val="20"/>
          <w:szCs w:val="20"/>
          <w:lang w:val="en-US" w:eastAsia="zh-CN"/>
        </w:rPr>
      </w:pPr>
      <w:r>
        <w:rPr>
          <w:rFonts w:hint="default"/>
          <w:b/>
          <w:bCs w:val="0"/>
          <w:kern w:val="2"/>
          <w:sz w:val="20"/>
          <w:szCs w:val="20"/>
          <w:lang w:val="en-US" w:eastAsia="zh-CN"/>
        </w:rPr>
        <w:t xml:space="preserve">Observation </w:t>
      </w:r>
      <w:r>
        <w:rPr>
          <w:rFonts w:hint="eastAsia"/>
          <w:b/>
          <w:bCs w:val="0"/>
          <w:kern w:val="2"/>
          <w:sz w:val="20"/>
          <w:szCs w:val="20"/>
          <w:lang w:val="en-US" w:eastAsia="zh-CN"/>
        </w:rPr>
        <w:t>6</w:t>
      </w:r>
      <w:r>
        <w:rPr>
          <w:rFonts w:hint="default"/>
          <w:b/>
          <w:bCs w:val="0"/>
          <w:kern w:val="2"/>
          <w:sz w:val="20"/>
          <w:szCs w:val="20"/>
          <w:lang w:val="en-US" w:eastAsia="zh-CN"/>
        </w:rPr>
        <w:t>: si-WindowLength extension is not necessary for IoT NTN TDD.</w:t>
      </w:r>
    </w:p>
    <w:p>
      <w:pPr>
        <w:pStyle w:val="53"/>
        <w:numPr>
          <w:ilvl w:val="255"/>
          <w:numId w:val="0"/>
        </w:numPr>
        <w:spacing w:before="75" w:after="75" w:line="315" w:lineRule="atLeast"/>
        <w:rPr>
          <w:rFonts w:hint="default" w:eastAsia="宋体"/>
          <w:b w:val="0"/>
          <w:bCs/>
          <w:kern w:val="0"/>
          <w:sz w:val="20"/>
          <w:szCs w:val="20"/>
          <w:lang w:val="en-US" w:eastAsia="zh-CN"/>
        </w:rPr>
      </w:pPr>
      <w:r>
        <w:rPr>
          <w:rFonts w:hint="default" w:eastAsia="宋体"/>
          <w:b w:val="0"/>
          <w:bCs/>
          <w:kern w:val="0"/>
          <w:sz w:val="20"/>
          <w:szCs w:val="20"/>
          <w:lang w:val="en-US" w:eastAsia="zh-CN"/>
        </w:rPr>
        <w:t xml:space="preserve">In the current </w:t>
      </w:r>
      <w:r>
        <w:rPr>
          <w:rFonts w:hint="eastAsia" w:eastAsia="宋体"/>
          <w:b w:val="0"/>
          <w:bCs/>
          <w:kern w:val="0"/>
          <w:sz w:val="20"/>
          <w:szCs w:val="20"/>
          <w:lang w:val="en-US" w:eastAsia="zh-CN"/>
        </w:rPr>
        <w:t xml:space="preserve">TS36. 331 </w:t>
      </w:r>
      <w:r>
        <w:rPr>
          <w:rFonts w:hint="default" w:eastAsia="宋体"/>
          <w:b w:val="0"/>
          <w:bCs/>
          <w:kern w:val="0"/>
          <w:sz w:val="20"/>
          <w:szCs w:val="20"/>
          <w:lang w:val="en-US" w:eastAsia="zh-CN"/>
        </w:rPr>
        <w:t>specification</w:t>
      </w:r>
      <w:r>
        <w:rPr>
          <w:rFonts w:hint="eastAsia" w:eastAsia="宋体"/>
          <w:b w:val="0"/>
          <w:bCs/>
          <w:kern w:val="0"/>
          <w:sz w:val="20"/>
          <w:szCs w:val="20"/>
          <w:lang w:val="en-US" w:eastAsia="zh-CN"/>
        </w:rPr>
        <w:t>[7], it is based on parameter configuration(e.g. NW implementation) to avoid SI-window overlap, the same mechanism can apply to IoT NTN TDD.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8" w:name="_Toc185640037"/>
            <w:bookmarkStart w:id="9" w:name="_Toc29342002"/>
            <w:bookmarkStart w:id="10" w:name="_Toc20486710"/>
            <w:bookmarkStart w:id="11" w:name="_Toc29343141"/>
            <w:bookmarkStart w:id="12" w:name="_Toc46482882"/>
            <w:bookmarkStart w:id="13" w:name="_Toc36846159"/>
            <w:bookmarkStart w:id="14" w:name="_Toc46480414"/>
            <w:bookmarkStart w:id="15" w:name="_Toc46481648"/>
            <w:bookmarkStart w:id="16" w:name="_Toc37081791"/>
            <w:bookmarkStart w:id="17" w:name="_Toc36938812"/>
            <w:bookmarkStart w:id="18" w:name="_Toc36809795"/>
            <w:bookmarkStart w:id="19" w:name="_Toc36566388"/>
            <w:r>
              <w:rPr>
                <w:rFonts w:ascii="Arial" w:hAnsi="Arial" w:eastAsia="Times New Roman" w:cs="Times New Roman"/>
                <w:sz w:val="24"/>
                <w:lang w:val="en-GB" w:eastAsia="ja-JP" w:bidi="ar-SA"/>
              </w:rPr>
              <w:t>5.2.1.2a</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Scheduling for NB-IoT</w:t>
            </w:r>
            <w:bookmarkEnd w:id="8"/>
            <w:bookmarkEnd w:id="9"/>
            <w:bookmarkEnd w:id="10"/>
            <w:bookmarkEnd w:id="11"/>
            <w:bookmarkEnd w:id="12"/>
            <w:bookmarkEnd w:id="13"/>
            <w:bookmarkEnd w:id="14"/>
            <w:bookmarkEnd w:id="15"/>
            <w:bookmarkEnd w:id="16"/>
            <w:bookmarkEnd w:id="17"/>
            <w:bookmarkEnd w:id="18"/>
            <w:bookmarkEnd w:id="19"/>
          </w:p>
          <w:p>
            <w:pPr>
              <w:widowControl/>
              <w:overflowPunct w:val="0"/>
              <w:autoSpaceDE w:val="0"/>
              <w:autoSpaceDN w:val="0"/>
              <w:adjustRightInd w:val="0"/>
              <w:spacing w:after="180" w:line="240" w:lineRule="auto"/>
              <w:jc w:val="left"/>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ja-JP"/>
              </w:rPr>
            </w:pPr>
            <w:r>
              <w:rPr>
                <w:rFonts w:ascii="Times New Roman" w:hAnsi="Times New Roman" w:eastAsia="Times New Roman" w:cs="Times New Roman"/>
                <w:kern w:val="0"/>
                <w:sz w:val="20"/>
                <w:szCs w:val="20"/>
                <w:lang w:eastAsia="ja-JP"/>
              </w:rPr>
              <w:t xml:space="preserve">The SI messages are transmitted within periodically occurring time domain windows (referred to as SI-windows) using scheduling information provided in </w:t>
            </w:r>
            <w:r>
              <w:rPr>
                <w:rFonts w:ascii="Times New Roman" w:hAnsi="Times New Roman" w:eastAsia="Times New Roman" w:cs="Times New Roman"/>
                <w:i/>
                <w:kern w:val="0"/>
                <w:sz w:val="20"/>
                <w:szCs w:val="20"/>
                <w:lang w:eastAsia="ja-JP"/>
              </w:rPr>
              <w:t>SystemInformationBlockType1-NB</w:t>
            </w:r>
            <w:r>
              <w:rPr>
                <w:rFonts w:ascii="Times New Roman" w:hAnsi="Times New Roman" w:eastAsia="Times New Roman" w:cs="Times New Roman"/>
                <w:kern w:val="0"/>
                <w:sz w:val="20"/>
                <w:szCs w:val="20"/>
                <w:lang w:eastAsia="ja-JP"/>
              </w:rPr>
              <w:t>.</w:t>
            </w:r>
            <w:r>
              <w:rPr>
                <w:rFonts w:ascii="Times New Roman" w:hAnsi="Times New Roman" w:eastAsia="Times New Roman" w:cs="Times New Roman"/>
                <w:kern w:val="0"/>
                <w:sz w:val="20"/>
                <w:szCs w:val="20"/>
                <w:highlight w:val="yellow"/>
                <w:lang w:eastAsia="ja-JP"/>
              </w:rPr>
              <w:t xml:space="preserve"> Each SI message is associated with a SI-window and the SI-windows of different SI messages do not overlap</w:t>
            </w:r>
            <w:r>
              <w:rPr>
                <w:rFonts w:ascii="Times New Roman" w:hAnsi="Times New Roman" w:eastAsia="Times New Roman" w:cs="Times New Roman"/>
                <w:kern w:val="0"/>
                <w:sz w:val="20"/>
                <w:szCs w:val="20"/>
                <w:lang w:eastAsia="ja-JP"/>
              </w:rPr>
              <w:t xml:space="preserve">. That is, within one SI-window only the corresponding SI is transmitted. </w:t>
            </w:r>
            <w:r>
              <w:rPr>
                <w:rFonts w:ascii="Times New Roman" w:hAnsi="Times New Roman" w:eastAsia="Times New Roman" w:cs="Times New Roman"/>
                <w:kern w:val="0"/>
                <w:sz w:val="20"/>
                <w:szCs w:val="20"/>
                <w:highlight w:val="yellow"/>
                <w:lang w:eastAsia="ja-JP"/>
              </w:rPr>
              <w:t>The length of the SI-window is common for all SI messages, and is configurable.</w:t>
            </w:r>
          </w:p>
          <w:p>
            <w:pPr>
              <w:pStyle w:val="53"/>
              <w:numPr>
                <w:ilvl w:val="255"/>
                <w:numId w:val="0"/>
              </w:numPr>
              <w:spacing w:before="75" w:after="75" w:line="315" w:lineRule="atLeast"/>
              <w:rPr>
                <w:rFonts w:hint="default" w:eastAsia="宋体"/>
                <w:bCs/>
                <w:sz w:val="20"/>
                <w:szCs w:val="20"/>
                <w:vertAlign w:val="baseline"/>
                <w:lang w:val="en-US" w:eastAsia="zh-CN"/>
              </w:rPr>
            </w:pPr>
            <w:r>
              <w:rPr>
                <w:rFonts w:hint="eastAsia" w:ascii="Times New Roman" w:hAnsi="Times New Roman" w:eastAsia="宋体" w:cs="Times New Roman"/>
                <w:kern w:val="0"/>
                <w:sz w:val="20"/>
                <w:szCs w:val="20"/>
                <w:lang w:val="en-US" w:eastAsia="zh-CN"/>
              </w:rPr>
              <w:t>...</w:t>
            </w:r>
          </w:p>
        </w:tc>
      </w:tr>
    </w:tbl>
    <w:p>
      <w:pPr>
        <w:pStyle w:val="53"/>
        <w:numPr>
          <w:ilvl w:val="255"/>
          <w:numId w:val="0"/>
        </w:numPr>
        <w:spacing w:before="75" w:after="75" w:line="315" w:lineRule="atLeast"/>
        <w:rPr>
          <w:rFonts w:hint="eastAsia"/>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9</w:t>
      </w:r>
      <w:r>
        <w:rPr>
          <w:rFonts w:hint="default"/>
          <w:b/>
          <w:bCs w:val="0"/>
          <w:kern w:val="2"/>
          <w:sz w:val="20"/>
          <w:szCs w:val="20"/>
          <w:lang w:val="en-US" w:eastAsia="zh-CN"/>
        </w:rPr>
        <w:t>:</w:t>
      </w:r>
      <w:r>
        <w:rPr>
          <w:rFonts w:hint="eastAsia"/>
          <w:b/>
          <w:bCs w:val="0"/>
          <w:kern w:val="2"/>
          <w:sz w:val="20"/>
          <w:szCs w:val="20"/>
          <w:lang w:val="en-US" w:eastAsia="zh-CN"/>
        </w:rPr>
        <w:t xml:space="preserve"> </w:t>
      </w:r>
      <w:r>
        <w:rPr>
          <w:rFonts w:hint="default" w:eastAsia="Calibri"/>
          <w:b/>
          <w:bCs w:val="0"/>
          <w:kern w:val="2"/>
          <w:sz w:val="20"/>
          <w:szCs w:val="20"/>
          <w:lang w:val="en-US" w:eastAsia="zh-CN"/>
        </w:rPr>
        <w:t xml:space="preserve">It is </w:t>
      </w:r>
      <w:r>
        <w:rPr>
          <w:rFonts w:hint="eastAsia"/>
          <w:b/>
          <w:bCs w:val="0"/>
          <w:kern w:val="2"/>
          <w:sz w:val="20"/>
          <w:szCs w:val="20"/>
          <w:lang w:val="en-US" w:eastAsia="zh-CN"/>
        </w:rPr>
        <w:t xml:space="preserve">up to NW implementation </w:t>
      </w:r>
      <w:r>
        <w:rPr>
          <w:rFonts w:hint="default" w:eastAsia="Calibri"/>
          <w:b/>
          <w:bCs w:val="0"/>
          <w:kern w:val="2"/>
          <w:sz w:val="20"/>
          <w:szCs w:val="20"/>
          <w:lang w:val="en-US" w:eastAsia="zh-CN"/>
        </w:rPr>
        <w:t>to avoid SI-window overlap</w:t>
      </w:r>
      <w:r>
        <w:rPr>
          <w:rFonts w:hint="default"/>
          <w:b/>
          <w:bCs w:val="0"/>
          <w:kern w:val="2"/>
          <w:sz w:val="20"/>
          <w:szCs w:val="20"/>
          <w:lang w:val="en-US" w:eastAsia="zh-CN"/>
        </w:rPr>
        <w:t>.</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1"/>
          <w:szCs w:val="21"/>
          <w:lang w:val="en-US" w:eastAsia="zh-CN"/>
        </w:rPr>
      </w:pPr>
      <w:r>
        <w:rPr>
          <w:rFonts w:hint="eastAsia" w:cs="Arial"/>
          <w:b/>
          <w:bCs/>
          <w:kern w:val="0"/>
          <w:sz w:val="21"/>
          <w:szCs w:val="21"/>
          <w:lang w:val="en-US" w:eastAsia="zh-CN"/>
        </w:rPr>
        <w:t>Issue 4: About SC-PTM impact</w:t>
      </w:r>
    </w:p>
    <w:p>
      <w:pPr>
        <w:pStyle w:val="53"/>
        <w:numPr>
          <w:ilvl w:val="255"/>
          <w:numId w:val="0"/>
        </w:numPr>
        <w:spacing w:before="75" w:beforeAutospacing="0" w:after="75" w:afterAutospacing="0" w:line="315" w:lineRule="atLeast"/>
        <w:rPr>
          <w:rFonts w:hint="default" w:eastAsia="宋体"/>
          <w:b w:val="0"/>
          <w:bCs/>
          <w:kern w:val="2"/>
          <w:sz w:val="20"/>
          <w:szCs w:val="20"/>
          <w:lang w:val="en-US" w:eastAsia="zh-CN"/>
        </w:rPr>
      </w:pPr>
      <w:r>
        <w:rPr>
          <w:rFonts w:hint="default"/>
          <w:b w:val="0"/>
          <w:bCs/>
          <w:kern w:val="2"/>
          <w:sz w:val="20"/>
          <w:szCs w:val="20"/>
          <w:lang w:val="en-US" w:eastAsia="zh-CN"/>
        </w:rPr>
        <w:t>In SC-PTM, several timers and periodicity are used. But considering that SC-PTM are transmitted on common channel, e.g. SC-MCCH and SC-MTCH, and the control information associated with transmission of SC-PTM are transmitted in SIB-20, which can be transmitted periodically, UE can drop the non-DL subframes for SC-PTM</w:t>
      </w:r>
      <w:r>
        <w:rPr>
          <w:rFonts w:hint="eastAsia" w:ascii="Times New Roman" w:hAnsi="Times New Roman" w:cs="Times New Roman"/>
          <w:b w:val="0"/>
          <w:bCs/>
          <w:kern w:val="2"/>
          <w:sz w:val="20"/>
          <w:szCs w:val="20"/>
          <w:lang w:val="en-US" w:eastAsia="zh-CN"/>
        </w:rPr>
        <w:t xml:space="preserve"> </w:t>
      </w:r>
      <w:r>
        <w:rPr>
          <w:rFonts w:hint="default" w:eastAsia="宋体"/>
          <w:b w:val="0"/>
          <w:bCs/>
          <w:kern w:val="2"/>
          <w:sz w:val="20"/>
          <w:szCs w:val="20"/>
          <w:lang w:val="en-US" w:eastAsia="zh-CN"/>
        </w:rPr>
        <w:t>reception .</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10</w:t>
      </w:r>
      <w:r>
        <w:rPr>
          <w:rFonts w:hint="default"/>
          <w:b/>
          <w:bCs w:val="0"/>
          <w:kern w:val="2"/>
          <w:sz w:val="20"/>
          <w:szCs w:val="20"/>
          <w:lang w:val="en-US" w:eastAsia="zh-CN"/>
        </w:rPr>
        <w:t>: UE drops the non-DL subframes for SC-PT</w:t>
      </w:r>
      <w:r>
        <w:rPr>
          <w:rFonts w:hint="eastAsia"/>
          <w:b/>
          <w:bCs w:val="0"/>
          <w:kern w:val="2"/>
          <w:sz w:val="20"/>
          <w:szCs w:val="20"/>
          <w:lang w:val="en-US" w:eastAsia="zh-CN"/>
        </w:rPr>
        <w:t>M</w:t>
      </w:r>
      <w:r>
        <w:rPr>
          <w:rFonts w:hint="default"/>
          <w:b/>
          <w:bCs w:val="0"/>
          <w:kern w:val="2"/>
          <w:sz w:val="20"/>
          <w:szCs w:val="20"/>
          <w:lang w:val="en-US" w:eastAsia="zh-CN"/>
        </w:rPr>
        <w:t xml:space="preserve"> reception.</w:t>
      </w:r>
    </w:p>
    <w:p>
      <w:pPr>
        <w:pStyle w:val="3"/>
        <w:numPr>
          <w:ilvl w:val="-1"/>
          <w:numId w:val="0"/>
        </w:numPr>
        <w:pBdr>
          <w:top w:val="single" w:color="auto" w:sz="12" w:space="3"/>
        </w:pBdr>
        <w:tabs>
          <w:tab w:val="clear" w:pos="432"/>
        </w:tabs>
        <w:overflowPunct w:val="0"/>
        <w:autoSpaceDE w:val="0"/>
        <w:autoSpaceDN w:val="0"/>
        <w:adjustRightInd w:val="0"/>
        <w:spacing w:before="240" w:beforeAutospacing="0" w:after="180" w:afterAutospacing="0" w:line="240" w:lineRule="auto"/>
        <w:textAlignment w:val="baseline"/>
        <w:rPr>
          <w:rFonts w:hint="default" w:cs="Times New Roman"/>
          <w:b w:val="0"/>
          <w:bCs/>
          <w:kern w:val="2"/>
          <w:sz w:val="21"/>
          <w:szCs w:val="24"/>
          <w:lang w:val="en-US" w:eastAsia="zh-CN"/>
        </w:rPr>
      </w:pPr>
      <w:r>
        <w:rPr>
          <w:rFonts w:hint="eastAsia" w:cs="Arial"/>
          <w:b/>
          <w:bCs/>
          <w:kern w:val="0"/>
          <w:sz w:val="21"/>
          <w:szCs w:val="21"/>
          <w:lang w:val="en-US" w:eastAsia="zh-CN"/>
        </w:rPr>
        <w:t>Issue 5: About implications of Kmac extension to IoT NTN and/or NR NTN</w:t>
      </w:r>
    </w:p>
    <w:p>
      <w:pPr>
        <w:pStyle w:val="53"/>
        <w:numPr>
          <w:ilvl w:val="255"/>
          <w:numId w:val="0"/>
        </w:numPr>
        <w:spacing w:before="75" w:beforeAutospacing="0" w:after="75" w:afterAutospacing="0" w:line="315" w:lineRule="atLeast"/>
        <w:rPr>
          <w:rFonts w:hint="eastAsia" w:cs="Times New Roman"/>
          <w:bCs/>
          <w:i w:val="0"/>
          <w:iCs w:val="0"/>
          <w:spacing w:val="0"/>
          <w:kern w:val="2"/>
          <w:sz w:val="20"/>
          <w:szCs w:val="20"/>
          <w:shd w:val="clear"/>
          <w:lang w:val="en-US" w:eastAsia="zh-CN"/>
        </w:rPr>
      </w:pPr>
      <w:r>
        <w:rPr>
          <w:rFonts w:hint="eastAsia" w:cs="Times New Roman"/>
          <w:bCs/>
          <w:i w:val="0"/>
          <w:iCs w:val="0"/>
          <w:spacing w:val="0"/>
          <w:kern w:val="2"/>
          <w:sz w:val="20"/>
          <w:szCs w:val="20"/>
          <w:shd w:val="clear"/>
          <w:lang w:val="en-US" w:eastAsia="zh-CN"/>
        </w:rPr>
        <w:t xml:space="preserve">In NR/IoT NTN, Kmac is a cell specific parameter(e.g. sent by SIB), which is used also for UE to adjust the UP timers, e.g., DRX RTT timers, RAR window, contention resolution timer etc. If there are legacy UEs exists in the cell, and extended Kmac is broadcasted, then legacy UEs will still use the old Kmac values (e.g., smaller Kmac values) to adjust the start of the timers, which will lead to failed transmission/scheduling because of the misunderstanding between NW and UE on the timer status. </w:t>
      </w:r>
    </w:p>
    <w:p>
      <w:pPr>
        <w:pStyle w:val="53"/>
        <w:numPr>
          <w:ilvl w:val="255"/>
          <w:numId w:val="0"/>
        </w:numPr>
        <w:spacing w:before="75" w:beforeAutospacing="0" w:after="75" w:afterAutospacing="0" w:line="315" w:lineRule="atLeast"/>
        <w:rPr>
          <w:rFonts w:hint="default" w:cs="Times New Roman"/>
          <w:b/>
          <w:bCs w:val="0"/>
          <w:i w:val="0"/>
          <w:iCs w:val="0"/>
          <w:spacing w:val="0"/>
          <w:kern w:val="2"/>
          <w:sz w:val="20"/>
          <w:szCs w:val="20"/>
          <w:shd w:val="clear"/>
          <w:lang w:val="en-US" w:eastAsia="zh-CN"/>
        </w:rPr>
      </w:pPr>
      <w:r>
        <w:rPr>
          <w:rFonts w:hint="eastAsia" w:cs="Times New Roman"/>
          <w:b/>
          <w:bCs w:val="0"/>
          <w:i w:val="0"/>
          <w:iCs w:val="0"/>
          <w:spacing w:val="0"/>
          <w:kern w:val="2"/>
          <w:sz w:val="20"/>
          <w:szCs w:val="20"/>
          <w:shd w:val="clear"/>
          <w:lang w:val="en-US" w:eastAsia="zh-CN"/>
        </w:rPr>
        <w:t xml:space="preserve">Observation 7: Kmac is used by the UE for UP timers adjustment, which is a cell specific value for idle/inactive UEs. The extended Kmac values cannot be used by legacy UEs, which could lead to misunderstanding between NW and UE on the timers status (RAR window, contentionResolutionTimer and etc.), thus lead to failed scheduling/transmission. </w:t>
      </w:r>
    </w:p>
    <w:p>
      <w:pPr>
        <w:pStyle w:val="53"/>
        <w:numPr>
          <w:ilvl w:val="255"/>
          <w:numId w:val="0"/>
        </w:numPr>
        <w:spacing w:before="75" w:beforeAutospacing="0" w:after="75" w:afterAutospacing="0" w:line="315" w:lineRule="atLeast"/>
        <w:rPr>
          <w:rFonts w:hint="default" w:cs="Times New Roman"/>
          <w:b w:val="0"/>
          <w:bCs/>
          <w:kern w:val="2"/>
          <w:sz w:val="20"/>
          <w:szCs w:val="20"/>
          <w:lang w:val="en-US" w:eastAsia="zh-CN"/>
        </w:rPr>
      </w:pPr>
      <w:r>
        <w:rPr>
          <w:rFonts w:hint="eastAsia" w:cs="Times New Roman"/>
          <w:b w:val="0"/>
          <w:bCs/>
          <w:kern w:val="2"/>
          <w:sz w:val="20"/>
          <w:szCs w:val="20"/>
          <w:lang w:val="en-US" w:eastAsia="zh-CN"/>
        </w:rPr>
        <w:t>Based on above, it is proposed that Kmac extension value of 512ms to 1023ms need not apply to NR NTN and IoT NTN.</w:t>
      </w:r>
    </w:p>
    <w:p>
      <w:pPr>
        <w:pStyle w:val="53"/>
        <w:numPr>
          <w:ilvl w:val="255"/>
          <w:numId w:val="0"/>
        </w:numPr>
        <w:spacing w:before="75" w:beforeAutospacing="0" w:after="75" w:afterAutospacing="0" w:line="315" w:lineRule="atLeast"/>
        <w:rPr>
          <w:rFonts w:hint="default" w:cs="Times New Roman"/>
          <w:b w:val="0"/>
          <w:bCs/>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11</w:t>
      </w:r>
      <w:r>
        <w:rPr>
          <w:rFonts w:hint="default"/>
          <w:b/>
          <w:bCs w:val="0"/>
          <w:kern w:val="2"/>
          <w:sz w:val="20"/>
          <w:szCs w:val="20"/>
          <w:lang w:val="en-US" w:eastAsia="zh-CN"/>
        </w:rPr>
        <w:t xml:space="preserve">: </w:t>
      </w:r>
      <w:r>
        <w:rPr>
          <w:rFonts w:hint="eastAsia" w:cs="Times New Roman"/>
          <w:b/>
          <w:bCs w:val="0"/>
          <w:kern w:val="2"/>
          <w:sz w:val="20"/>
          <w:szCs w:val="20"/>
          <w:lang w:val="en-US" w:eastAsia="zh-CN"/>
        </w:rPr>
        <w:t>Kmac extension value of 512ms to 1023ms does not apply to NR NTN and legacy IoT NTN</w:t>
      </w:r>
      <w:r>
        <w:rPr>
          <w:rFonts w:hint="default"/>
          <w:b/>
          <w:bCs w:val="0"/>
          <w:kern w:val="2"/>
          <w:sz w:val="20"/>
          <w:szCs w:val="20"/>
          <w:lang w:val="en-US" w:eastAsia="zh-CN"/>
        </w:rPr>
        <w:t>.</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6: PDCCH monitoring issue</w:t>
      </w:r>
    </w:p>
    <w:p>
      <w:pPr>
        <w:rPr>
          <w:rFonts w:hint="eastAsia"/>
          <w:lang w:val="en-US" w:eastAsia="zh-CN"/>
        </w:rPr>
      </w:pPr>
      <w:r>
        <w:rPr>
          <w:rFonts w:hint="eastAsia"/>
          <w:lang w:val="en-US" w:eastAsia="zh-CN"/>
        </w:rPr>
        <w:t>RAN1 has made the following agreements in RAN1#120bis meeting[5]</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w:hAnsi="Times" w:eastAsia="Batang" w:cs="Times New Roman"/>
                <w:kern w:val="0"/>
                <w:sz w:val="20"/>
                <w:szCs w:val="24"/>
                <w:lang w:eastAsia="en-US"/>
              </w:rPr>
            </w:pPr>
            <w:r>
              <w:rPr>
                <w:rFonts w:ascii="Times" w:hAnsi="Times" w:eastAsia="Batang" w:cs="Times New Roman"/>
                <w:kern w:val="0"/>
                <w:sz w:val="20"/>
                <w:szCs w:val="24"/>
                <w:highlight w:val="green"/>
                <w:lang w:eastAsia="en-US"/>
              </w:rPr>
              <w:t>Agreement</w:t>
            </w:r>
          </w:p>
          <w:p>
            <w:pPr>
              <w:widowControl/>
              <w:spacing w:after="0" w:line="240" w:lineRule="auto"/>
              <w:jc w:val="left"/>
              <w:rPr>
                <w:rFonts w:ascii="Times" w:hAnsi="Times" w:eastAsia="Batang" w:cs="Times New Roman"/>
                <w:bCs/>
                <w:kern w:val="0"/>
                <w:sz w:val="20"/>
                <w:szCs w:val="24"/>
                <w:u w:val="single"/>
                <w:lang w:eastAsia="en-US"/>
              </w:rPr>
            </w:pPr>
            <w:r>
              <w:rPr>
                <w:rFonts w:ascii="Times" w:hAnsi="Times" w:eastAsia="Batang" w:cs="Times New Roman"/>
                <w:bCs/>
                <w:kern w:val="0"/>
                <w:sz w:val="20"/>
                <w:szCs w:val="24"/>
                <w:lang w:eastAsia="en-US"/>
              </w:rPr>
              <w:t>For the issue of handling NPDCCH postponing, down-select among the following options:</w:t>
            </w:r>
          </w:p>
          <w:p>
            <w:pPr>
              <w:widowControl/>
              <w:numPr>
                <w:ilvl w:val="0"/>
                <w:numId w:val="8"/>
              </w:numPr>
              <w:overflowPunct w:val="0"/>
              <w:autoSpaceDE w:val="0"/>
              <w:autoSpaceDN w:val="0"/>
              <w:adjustRightInd w:val="0"/>
              <w:spacing w:after="0" w:line="240" w:lineRule="auto"/>
              <w:ind w:left="72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Option 1: No new periodicities are introduced for NPDCCH search space monitoring</w:t>
            </w:r>
          </w:p>
          <w:p>
            <w:pPr>
              <w:widowControl/>
              <w:numPr>
                <w:ilvl w:val="1"/>
                <w:numId w:val="8"/>
              </w:numPr>
              <w:overflowPunct w:val="0"/>
              <w:autoSpaceDE w:val="0"/>
              <w:autoSpaceDN w:val="0"/>
              <w:adjustRightInd w:val="0"/>
              <w:spacing w:after="0" w:line="240" w:lineRule="auto"/>
              <w:ind w:left="144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FFS: Changes in postponing / overlapping rules, if any</w:t>
            </w:r>
          </w:p>
          <w:p>
            <w:pPr>
              <w:widowControl/>
              <w:numPr>
                <w:ilvl w:val="1"/>
                <w:numId w:val="8"/>
              </w:numPr>
              <w:overflowPunct w:val="0"/>
              <w:autoSpaceDE w:val="0"/>
              <w:autoSpaceDN w:val="0"/>
              <w:adjustRightInd w:val="0"/>
              <w:spacing w:after="0" w:line="240" w:lineRule="auto"/>
              <w:ind w:left="144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FFS: Introduction of constraints on the configuration of search space parameters (e.g. Rmax, G…), if any</w:t>
            </w:r>
          </w:p>
          <w:p>
            <w:pPr>
              <w:widowControl/>
              <w:numPr>
                <w:ilvl w:val="0"/>
                <w:numId w:val="8"/>
              </w:numPr>
              <w:overflowPunct w:val="0"/>
              <w:autoSpaceDE w:val="0"/>
              <w:autoSpaceDN w:val="0"/>
              <w:adjustRightInd w:val="0"/>
              <w:spacing w:after="0" w:line="240" w:lineRule="auto"/>
              <w:ind w:left="72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Option 2: New periodicities are introduced for NPDCCH search space monitoring</w:t>
            </w:r>
          </w:p>
          <w:p>
            <w:pPr>
              <w:widowControl/>
              <w:numPr>
                <w:ilvl w:val="1"/>
                <w:numId w:val="8"/>
              </w:numPr>
              <w:overflowPunct w:val="0"/>
              <w:autoSpaceDE w:val="0"/>
              <w:autoSpaceDN w:val="0"/>
              <w:adjustRightInd w:val="0"/>
              <w:spacing w:after="0" w:line="240" w:lineRule="auto"/>
              <w:ind w:left="144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FFS: Details of the new periodicity, e.g. the existing periodicity is scaled by a fixed factor F, explicit signalling of the new periodicity, reusing the NB-IoT TN TDD periodicities, etc.</w:t>
            </w:r>
          </w:p>
          <w:p>
            <w:pPr>
              <w:widowControl/>
              <w:spacing w:after="0" w:line="240" w:lineRule="auto"/>
              <w:jc w:val="left"/>
              <w:rPr>
                <w:rFonts w:ascii="Times" w:hAnsi="Times" w:eastAsia="Batang" w:cs="Times New Roman"/>
                <w:kern w:val="0"/>
                <w:sz w:val="20"/>
                <w:szCs w:val="24"/>
                <w:lang w:eastAsia="zh-CN"/>
              </w:rPr>
            </w:pPr>
          </w:p>
          <w:p>
            <w:pPr>
              <w:widowControl/>
              <w:spacing w:after="0" w:line="240" w:lineRule="auto"/>
              <w:jc w:val="left"/>
              <w:rPr>
                <w:rFonts w:ascii="Times" w:hAnsi="Times" w:eastAsia="Batang" w:cs="Times New Roman"/>
                <w:kern w:val="0"/>
                <w:sz w:val="20"/>
                <w:szCs w:val="24"/>
                <w:lang w:eastAsia="en-US"/>
              </w:rPr>
            </w:pPr>
            <w:r>
              <w:rPr>
                <w:rFonts w:ascii="Times" w:hAnsi="Times" w:eastAsia="Batang" w:cs="Times New Roman"/>
                <w:kern w:val="0"/>
                <w:sz w:val="20"/>
                <w:szCs w:val="24"/>
                <w:highlight w:val="darkYellow"/>
                <w:lang w:eastAsia="en-US"/>
              </w:rPr>
              <w:t>Working assumption</w:t>
            </w:r>
          </w:p>
          <w:p>
            <w:pPr>
              <w:widowControl/>
              <w:spacing w:after="0" w:line="240" w:lineRule="auto"/>
              <w:jc w:val="left"/>
              <w:rPr>
                <w:rFonts w:ascii="Times" w:hAnsi="Times" w:eastAsia="Batang" w:cs="Times New Roman"/>
                <w:bCs/>
                <w:kern w:val="0"/>
                <w:sz w:val="20"/>
                <w:szCs w:val="24"/>
                <w:u w:val="single"/>
                <w:lang w:eastAsia="en-US"/>
              </w:rPr>
            </w:pPr>
            <w:r>
              <w:rPr>
                <w:rFonts w:ascii="Times" w:hAnsi="Times" w:eastAsia="Batang" w:cs="Times New Roman"/>
                <w:bCs/>
                <w:kern w:val="0"/>
                <w:sz w:val="20"/>
                <w:szCs w:val="24"/>
                <w:lang w:eastAsia="en-US"/>
              </w:rPr>
              <w:t>DL bitmap (</w:t>
            </w:r>
            <w:r>
              <w:rPr>
                <w:rFonts w:ascii="Times" w:hAnsi="Times" w:eastAsia="Batang" w:cs="Times New Roman"/>
                <w:bCs/>
                <w:i/>
                <w:iCs/>
                <w:kern w:val="0"/>
                <w:sz w:val="20"/>
                <w:szCs w:val="24"/>
                <w:lang w:eastAsia="en-US"/>
              </w:rPr>
              <w:t>downlinkBitmap</w:t>
            </w:r>
            <w:r>
              <w:rPr>
                <w:rFonts w:ascii="Times" w:hAnsi="Times" w:eastAsia="Batang" w:cs="Times New Roman"/>
                <w:bCs/>
                <w:kern w:val="0"/>
                <w:sz w:val="20"/>
                <w:szCs w:val="24"/>
                <w:lang w:eastAsia="en-US"/>
              </w:rPr>
              <w:t xml:space="preserve"> / </w:t>
            </w:r>
            <w:r>
              <w:rPr>
                <w:rFonts w:ascii="Times" w:hAnsi="Times" w:eastAsia="Batang" w:cs="Times New Roman"/>
                <w:bCs/>
                <w:i/>
                <w:iCs/>
                <w:kern w:val="0"/>
                <w:sz w:val="20"/>
                <w:szCs w:val="24"/>
                <w:lang w:eastAsia="en-US"/>
              </w:rPr>
              <w:t>downlinkBitmapNonAnchor</w:t>
            </w:r>
            <w:r>
              <w:rPr>
                <w:rFonts w:ascii="Times" w:hAnsi="Times" w:eastAsia="Batang" w:cs="Times New Roman"/>
                <w:bCs/>
                <w:kern w:val="0"/>
                <w:sz w:val="20"/>
                <w:szCs w:val="24"/>
                <w:lang w:eastAsia="en-US"/>
              </w:rPr>
              <w:t>) is not present in a NB-IoT NTN TDD cell.</w:t>
            </w:r>
          </w:p>
          <w:p>
            <w:pPr>
              <w:widowControl/>
              <w:numPr>
                <w:ilvl w:val="0"/>
                <w:numId w:val="8"/>
              </w:numPr>
              <w:overflowPunct w:val="0"/>
              <w:autoSpaceDE w:val="0"/>
              <w:autoSpaceDN w:val="0"/>
              <w:adjustRightInd w:val="0"/>
              <w:spacing w:after="0" w:line="240" w:lineRule="auto"/>
              <w:ind w:left="72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NOTE1: All D NB-IoT subframes (except those carrying NPSS/NSSS/SIB1-NB/NPBCH) are NB-IoT DL subframes.</w:t>
            </w:r>
          </w:p>
          <w:p>
            <w:pPr>
              <w:numPr>
                <w:ilvl w:val="0"/>
                <w:numId w:val="8"/>
              </w:numPr>
              <w:overflowPunct w:val="0"/>
              <w:autoSpaceDE w:val="0"/>
              <w:autoSpaceDN w:val="0"/>
              <w:adjustRightInd w:val="0"/>
              <w:spacing w:after="0" w:line="240" w:lineRule="auto"/>
              <w:ind w:left="720" w:hanging="360"/>
              <w:contextualSpacing/>
              <w:textAlignment w:val="baseline"/>
              <w:rPr>
                <w:rFonts w:hint="default"/>
                <w:vertAlign w:val="baseline"/>
                <w:lang w:val="en-US" w:eastAsia="zh-CN"/>
              </w:rPr>
            </w:pPr>
            <w:r>
              <w:rPr>
                <w:rFonts w:ascii="Times" w:hAnsi="Times" w:eastAsia="Batang" w:cs="Times New Roman"/>
                <w:bCs/>
                <w:kern w:val="0"/>
                <w:sz w:val="20"/>
                <w:szCs w:val="24"/>
                <w:lang w:eastAsia="zh-CN"/>
              </w:rPr>
              <w:t>NOTE2: “D NB-IoT subframes” are subframes contained within the set of D=8 usable consecutive downlink subframes in the TDD structure.</w:t>
            </w:r>
          </w:p>
        </w:tc>
      </w:tr>
    </w:tbl>
    <w:p>
      <w:pPr>
        <w:pStyle w:val="2"/>
        <w:rPr>
          <w:rFonts w:hint="default"/>
          <w:szCs w:val="20"/>
          <w:lang w:val="en-US" w:eastAsia="zh-CN"/>
        </w:rPr>
      </w:pPr>
      <w:r>
        <w:rPr>
          <w:rFonts w:hint="eastAsia"/>
          <w:szCs w:val="20"/>
          <w:lang w:val="en-US" w:eastAsia="zh-CN"/>
        </w:rPr>
        <w:t xml:space="preserve">Since the PDCCH monitoring issues is more relevant to RAN1, RAN2 can wait for more progress for this issue in RAN1 to avoid duplicated work in RAN1 and RAN2.. </w:t>
      </w:r>
    </w:p>
    <w:p>
      <w:pPr>
        <w:rPr>
          <w:rFonts w:hint="eastAsia"/>
          <w:b/>
          <w:bCs w:val="0"/>
          <w:kern w:val="2"/>
          <w:sz w:val="20"/>
          <w:szCs w:val="20"/>
          <w:lang w:val="en-US" w:eastAsia="zh-CN"/>
        </w:rPr>
      </w:pPr>
      <w:r>
        <w:rPr>
          <w:rFonts w:hint="eastAsia"/>
          <w:b/>
          <w:bCs w:val="0"/>
          <w:kern w:val="2"/>
          <w:sz w:val="20"/>
          <w:szCs w:val="20"/>
          <w:lang w:val="en-US" w:eastAsia="zh-CN"/>
        </w:rPr>
        <w:t>Proposal 12: NPDCCH monitoring issue can wait for more progress in RAN1.</w:t>
      </w: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pPr>
        <w:rPr>
          <w:rFonts w:ascii="Times New Roman" w:hAnsi="Times New Roman"/>
        </w:rPr>
      </w:pPr>
      <w:r>
        <w:rPr>
          <w:rFonts w:ascii="Times New Roman" w:hAnsi="Times New Roman"/>
        </w:rPr>
        <w:t>The following observations</w:t>
      </w:r>
      <w:r>
        <w:rPr>
          <w:rFonts w:hint="eastAsia"/>
          <w:lang w:val="en-US" w:eastAsia="zh-CN"/>
        </w:rPr>
        <w:t xml:space="preserve"> and </w:t>
      </w:r>
      <w:r>
        <w:rPr>
          <w:rFonts w:ascii="Times New Roman" w:hAnsi="Times New Roman"/>
        </w:rPr>
        <w:t xml:space="preserve">proposals are made: </w:t>
      </w:r>
    </w:p>
    <w:p>
      <w:pPr>
        <w:keepNext w:val="0"/>
        <w:keepLines w:val="0"/>
        <w:pageBreakBefore w:val="0"/>
        <w:kinsoku/>
        <w:wordWrap/>
        <w:overflowPunct/>
        <w:topLinePunct w:val="0"/>
        <w:autoSpaceDE/>
        <w:autoSpaceDN/>
        <w:bidi w:val="0"/>
        <w:adjustRightInd/>
        <w:snapToGrid/>
        <w:spacing w:after="100" w:line="240" w:lineRule="auto"/>
        <w:textAlignment w:val="auto"/>
        <w:rPr>
          <w:rFonts w:hint="eastAsia"/>
          <w:b w:val="0"/>
          <w:bCs w:val="0"/>
          <w:i/>
          <w:iCs/>
          <w:szCs w:val="20"/>
          <w:lang w:val="en-US" w:eastAsia="zh-CN"/>
        </w:rPr>
      </w:pPr>
      <w:r>
        <w:rPr>
          <w:rFonts w:hint="eastAsia" w:eastAsia="MS Mincho"/>
          <w:b w:val="0"/>
          <w:bCs w:val="0"/>
          <w:i/>
          <w:iCs/>
          <w:szCs w:val="20"/>
          <w:highlight w:val="none"/>
          <w:lang w:val="en-US" w:eastAsia="zh-CN"/>
        </w:rPr>
        <w:t>Observation</w:t>
      </w:r>
      <w:r>
        <w:rPr>
          <w:rFonts w:hint="eastAsia"/>
          <w:b w:val="0"/>
          <w:bCs w:val="0"/>
          <w:i/>
          <w:iCs/>
          <w:szCs w:val="20"/>
          <w:lang w:val="en-US" w:eastAsia="zh-CN"/>
        </w:rPr>
        <w:t xml:space="preserve"> 1: In TS 36.321 specification, the length of </w:t>
      </w:r>
      <w:r>
        <w:rPr>
          <w:b w:val="0"/>
          <w:bCs w:val="0"/>
          <w:i/>
          <w:iCs/>
          <w:szCs w:val="20"/>
          <w:lang w:eastAsia="zh-CN"/>
        </w:rPr>
        <w:t>timer in unit of PDCCH periods</w:t>
      </w:r>
      <w:r>
        <w:rPr>
          <w:rFonts w:hint="eastAsia"/>
          <w:b w:val="0"/>
          <w:bCs w:val="0"/>
          <w:i/>
          <w:iCs/>
          <w:szCs w:val="20"/>
          <w:lang w:val="en-US" w:eastAsia="zh-CN"/>
        </w:rPr>
        <w:t xml:space="preserve"> is defined as number of PDCCH-subframes.</w:t>
      </w:r>
    </w:p>
    <w:p>
      <w:pPr>
        <w:keepNext w:val="0"/>
        <w:keepLines w:val="0"/>
        <w:pageBreakBefore w:val="0"/>
        <w:kinsoku/>
        <w:wordWrap/>
        <w:overflowPunct/>
        <w:topLinePunct w:val="0"/>
        <w:autoSpaceDE/>
        <w:autoSpaceDN/>
        <w:bidi w:val="0"/>
        <w:adjustRightInd/>
        <w:snapToGrid/>
        <w:spacing w:after="100" w:line="240" w:lineRule="auto"/>
        <w:textAlignment w:val="auto"/>
        <w:rPr>
          <w:rFonts w:hint="eastAsia"/>
          <w:b w:val="0"/>
          <w:bCs w:val="0"/>
          <w:i/>
          <w:iCs/>
          <w:szCs w:val="20"/>
          <w:lang w:val="en-US" w:eastAsia="zh-CN"/>
        </w:rPr>
      </w:pPr>
      <w:r>
        <w:rPr>
          <w:rFonts w:hint="eastAsia" w:eastAsia="MS Mincho"/>
          <w:b w:val="0"/>
          <w:bCs w:val="0"/>
          <w:i/>
          <w:iCs/>
          <w:szCs w:val="20"/>
          <w:lang w:val="en-US" w:eastAsia="zh-CN"/>
        </w:rPr>
        <w:t>Observation</w:t>
      </w:r>
      <w:r>
        <w:rPr>
          <w:rFonts w:hint="eastAsia"/>
          <w:b w:val="0"/>
          <w:bCs w:val="0"/>
          <w:i/>
          <w:iCs/>
          <w:szCs w:val="20"/>
          <w:lang w:val="en-US" w:eastAsia="zh-CN"/>
        </w:rPr>
        <w:t xml:space="preserve"> 2: In TS 36.321 specification, the PDCCH-subframe for NB-IoT is defined as all NB-IoT downlink subframes.</w:t>
      </w:r>
    </w:p>
    <w:p>
      <w:pPr>
        <w:keepNext w:val="0"/>
        <w:keepLines w:val="0"/>
        <w:pageBreakBefore w:val="0"/>
        <w:kinsoku/>
        <w:wordWrap/>
        <w:overflowPunct/>
        <w:topLinePunct w:val="0"/>
        <w:autoSpaceDE/>
        <w:autoSpaceDN/>
        <w:bidi w:val="0"/>
        <w:adjustRightInd/>
        <w:snapToGrid/>
        <w:spacing w:after="100" w:line="240" w:lineRule="auto"/>
        <w:textAlignment w:val="auto"/>
        <w:rPr>
          <w:rFonts w:hint="eastAsia"/>
          <w:b w:val="0"/>
          <w:bCs w:val="0"/>
          <w:i/>
          <w:iCs/>
          <w:szCs w:val="20"/>
          <w:lang w:val="en-US" w:eastAsia="zh-CN"/>
        </w:rPr>
      </w:pPr>
      <w:r>
        <w:rPr>
          <w:rFonts w:hint="eastAsia" w:eastAsia="MS Mincho"/>
          <w:b w:val="0"/>
          <w:bCs w:val="0"/>
          <w:i/>
          <w:iCs/>
          <w:szCs w:val="20"/>
          <w:lang w:val="en-US" w:eastAsia="zh-CN"/>
        </w:rPr>
        <w:t>Observation</w:t>
      </w:r>
      <w:r>
        <w:rPr>
          <w:rFonts w:hint="eastAsia"/>
          <w:b w:val="0"/>
          <w:bCs w:val="0"/>
          <w:i/>
          <w:iCs/>
          <w:szCs w:val="20"/>
          <w:lang w:val="en-US" w:eastAsia="zh-CN"/>
        </w:rPr>
        <w:t xml:space="preserve"> 3: Based on the IoT NTN TDD work item, </w:t>
      </w:r>
      <w:r>
        <w:rPr>
          <w:rFonts w:hint="eastAsia" w:eastAsia="MS Mincho"/>
          <w:b w:val="0"/>
          <w:bCs w:val="0"/>
          <w:i/>
          <w:iCs/>
          <w:szCs w:val="20"/>
          <w:lang w:val="en-US" w:eastAsia="zh-CN"/>
        </w:rPr>
        <w:t xml:space="preserve">the PDCCH-subframe definition for NB-IoT UE also applies to </w:t>
      </w:r>
      <w:r>
        <w:rPr>
          <w:rFonts w:hint="eastAsia"/>
          <w:b w:val="0"/>
          <w:bCs w:val="0"/>
          <w:i/>
          <w:iCs/>
          <w:szCs w:val="20"/>
          <w:lang w:val="en-US" w:eastAsia="zh-CN"/>
        </w:rPr>
        <w:t>IoT NTN TDD UE.</w:t>
      </w:r>
    </w:p>
    <w:p>
      <w:pPr>
        <w:keepNext w:val="0"/>
        <w:keepLines w:val="0"/>
        <w:pageBreakBefore w:val="0"/>
        <w:kinsoku/>
        <w:wordWrap/>
        <w:overflowPunct/>
        <w:topLinePunct w:val="0"/>
        <w:autoSpaceDE/>
        <w:autoSpaceDN/>
        <w:bidi w:val="0"/>
        <w:adjustRightInd/>
        <w:snapToGrid/>
        <w:spacing w:after="100" w:line="240" w:lineRule="auto"/>
        <w:textAlignment w:val="auto"/>
        <w:rPr>
          <w:rFonts w:hint="eastAsia"/>
          <w:b w:val="0"/>
          <w:bCs w:val="0"/>
          <w:i/>
          <w:iCs/>
          <w:szCs w:val="20"/>
          <w:lang w:val="en-US" w:eastAsia="zh-CN"/>
        </w:rPr>
      </w:pPr>
      <w:r>
        <w:rPr>
          <w:rFonts w:hint="eastAsia"/>
          <w:b w:val="0"/>
          <w:bCs w:val="0"/>
          <w:i/>
          <w:iCs/>
          <w:strike w:val="0"/>
          <w:kern w:val="2"/>
          <w:sz w:val="20"/>
          <w:szCs w:val="20"/>
          <w:lang w:val="en-US" w:eastAsia="zh-CN"/>
        </w:rPr>
        <w:t>Observation 4: If IoT NTN TDD supports same coverage enhancement level(e.g. UL with maximal 128 repetitions and DL with maximal 2048 repetitions), some of the existing value range of Timer with unit of ms or seconds(e.g. T300, T301, T311,T-PollRetransmit) will be insufficient and need to be extended(e.g. extended to 4 times of legacy TDD value).</w:t>
      </w:r>
    </w:p>
    <w:p>
      <w:pPr>
        <w:keepNext w:val="0"/>
        <w:keepLines w:val="0"/>
        <w:pageBreakBefore w:val="0"/>
        <w:kinsoku/>
        <w:wordWrap/>
        <w:overflowPunct/>
        <w:topLinePunct w:val="0"/>
        <w:autoSpaceDE/>
        <w:autoSpaceDN/>
        <w:bidi w:val="0"/>
        <w:adjustRightInd/>
        <w:snapToGrid/>
        <w:spacing w:after="100" w:line="240" w:lineRule="auto"/>
        <w:textAlignment w:val="auto"/>
        <w:rPr>
          <w:rFonts w:hint="eastAsia"/>
          <w:b w:val="0"/>
          <w:bCs w:val="0"/>
          <w:i/>
          <w:iCs/>
          <w:kern w:val="2"/>
          <w:sz w:val="20"/>
          <w:szCs w:val="20"/>
          <w:lang w:val="en-US" w:eastAsia="zh-CN"/>
        </w:rPr>
      </w:pPr>
      <w:r>
        <w:rPr>
          <w:rFonts w:hint="eastAsia"/>
          <w:b w:val="0"/>
          <w:bCs w:val="0"/>
          <w:i/>
          <w:iCs/>
          <w:kern w:val="2"/>
          <w:sz w:val="20"/>
          <w:szCs w:val="20"/>
          <w:lang w:val="en-US" w:eastAsia="zh-CN"/>
        </w:rPr>
        <w:t>Observation 5: Based on the RAN1 agreement, the legacy coverage enhancement level (e.g. DL with maximal 2048 repetitions) can not be provided in IoT NTN TDD.</w:t>
      </w:r>
    </w:p>
    <w:p>
      <w:pPr>
        <w:keepNext w:val="0"/>
        <w:keepLines w:val="0"/>
        <w:pageBreakBefore w:val="0"/>
        <w:kinsoku/>
        <w:wordWrap/>
        <w:overflowPunct/>
        <w:topLinePunct w:val="0"/>
        <w:autoSpaceDE/>
        <w:autoSpaceDN/>
        <w:bidi w:val="0"/>
        <w:adjustRightInd/>
        <w:snapToGrid/>
        <w:spacing w:after="100" w:line="240" w:lineRule="auto"/>
        <w:textAlignment w:val="auto"/>
        <w:rPr>
          <w:rFonts w:hint="default"/>
          <w:b w:val="0"/>
          <w:bCs w:val="0"/>
          <w:i/>
          <w:iCs/>
          <w:kern w:val="2"/>
          <w:sz w:val="20"/>
          <w:szCs w:val="20"/>
          <w:lang w:val="en-US" w:eastAsia="zh-CN"/>
        </w:rPr>
      </w:pPr>
      <w:r>
        <w:rPr>
          <w:rFonts w:hint="default"/>
          <w:b w:val="0"/>
          <w:bCs w:val="0"/>
          <w:i/>
          <w:iCs/>
          <w:kern w:val="2"/>
          <w:sz w:val="20"/>
          <w:szCs w:val="20"/>
          <w:lang w:val="en-US" w:eastAsia="zh-CN"/>
        </w:rPr>
        <w:t xml:space="preserve">Observation </w:t>
      </w:r>
      <w:r>
        <w:rPr>
          <w:rFonts w:hint="eastAsia"/>
          <w:b w:val="0"/>
          <w:bCs w:val="0"/>
          <w:i/>
          <w:iCs/>
          <w:kern w:val="2"/>
          <w:sz w:val="20"/>
          <w:szCs w:val="20"/>
          <w:lang w:val="en-US" w:eastAsia="zh-CN"/>
        </w:rPr>
        <w:t>6</w:t>
      </w:r>
      <w:r>
        <w:rPr>
          <w:rFonts w:hint="default"/>
          <w:b w:val="0"/>
          <w:bCs w:val="0"/>
          <w:i/>
          <w:iCs/>
          <w:kern w:val="2"/>
          <w:sz w:val="20"/>
          <w:szCs w:val="20"/>
          <w:lang w:val="en-US" w:eastAsia="zh-CN"/>
        </w:rPr>
        <w:t>: si-WindowLength extension is not necessary for IoT NTN TDD.</w:t>
      </w:r>
    </w:p>
    <w:p>
      <w:pPr>
        <w:pStyle w:val="53"/>
        <w:keepNext w:val="0"/>
        <w:keepLines w:val="0"/>
        <w:pageBreakBefore w:val="0"/>
        <w:numPr>
          <w:ilvl w:val="255"/>
          <w:numId w:val="0"/>
        </w:numPr>
        <w:kinsoku/>
        <w:wordWrap/>
        <w:overflowPunct/>
        <w:topLinePunct w:val="0"/>
        <w:autoSpaceDE/>
        <w:autoSpaceDN/>
        <w:bidi w:val="0"/>
        <w:adjustRightInd/>
        <w:snapToGrid/>
        <w:spacing w:before="0" w:beforeAutospacing="0" w:after="100" w:afterAutospacing="0" w:line="240" w:lineRule="auto"/>
        <w:textAlignment w:val="auto"/>
        <w:rPr>
          <w:rFonts w:hint="default" w:cs="Times New Roman"/>
          <w:b w:val="0"/>
          <w:bCs w:val="0"/>
          <w:i/>
          <w:iCs/>
          <w:spacing w:val="0"/>
          <w:kern w:val="2"/>
          <w:sz w:val="20"/>
          <w:szCs w:val="20"/>
          <w:shd w:val="clear"/>
          <w:lang w:val="en-US" w:eastAsia="zh-CN"/>
        </w:rPr>
      </w:pPr>
      <w:r>
        <w:rPr>
          <w:rFonts w:hint="eastAsia" w:cs="Times New Roman"/>
          <w:b w:val="0"/>
          <w:bCs w:val="0"/>
          <w:i/>
          <w:iCs/>
          <w:spacing w:val="0"/>
          <w:kern w:val="2"/>
          <w:sz w:val="20"/>
          <w:szCs w:val="20"/>
          <w:shd w:val="clear"/>
          <w:lang w:val="en-US" w:eastAsia="zh-CN"/>
        </w:rPr>
        <w:t xml:space="preserve">Observation 7: Kmac is used by the UE for UP timers adjustment, which is a cell specific value for idle/inactive UEs. The extended Kmac values cannot be used by legacy UEs, which could lead to misunderstanding between NW and UE on the timers status (RAR window, contentionResolutionTimer and etc.), thus lead to failed scheduling/transmission. </w:t>
      </w:r>
    </w:p>
    <w:p>
      <w:pPr>
        <w:rPr>
          <w:rFonts w:hint="eastAsia"/>
          <w:b/>
          <w:bCs w:val="0"/>
          <w:kern w:val="2"/>
          <w:sz w:val="20"/>
          <w:szCs w:val="20"/>
          <w:lang w:val="en-US" w:eastAsia="zh-CN"/>
        </w:rPr>
      </w:pPr>
    </w:p>
    <w:p>
      <w:pPr>
        <w:rPr>
          <w:rFonts w:hint="eastAsia"/>
          <w:b/>
          <w:bCs/>
          <w:szCs w:val="20"/>
          <w:lang w:val="en-US" w:eastAsia="zh-CN"/>
        </w:rPr>
      </w:pPr>
      <w:r>
        <w:rPr>
          <w:rFonts w:hint="eastAsia"/>
          <w:b/>
          <w:bCs/>
          <w:szCs w:val="20"/>
          <w:lang w:val="en-US" w:eastAsia="zh-CN"/>
        </w:rPr>
        <w:t xml:space="preserve">Proposal 1: For </w:t>
      </w:r>
      <w:r>
        <w:rPr>
          <w:b/>
          <w:bCs/>
          <w:szCs w:val="20"/>
          <w:lang w:eastAsia="zh-CN"/>
        </w:rPr>
        <w:t>timer in unit of PDCCH periods</w:t>
      </w:r>
      <w:r>
        <w:rPr>
          <w:rFonts w:hint="eastAsia"/>
          <w:b/>
          <w:bCs/>
          <w:szCs w:val="20"/>
          <w:lang w:val="en-US" w:eastAsia="zh-CN"/>
        </w:rPr>
        <w:t>, the definition in existing specs is clear enough, not need for further clarification.</w:t>
      </w:r>
    </w:p>
    <w:p>
      <w:pPr>
        <w:rPr>
          <w:rFonts w:hint="eastAsia"/>
          <w:b/>
          <w:bCs/>
          <w:szCs w:val="20"/>
          <w:lang w:val="en-US" w:eastAsia="zh-CN"/>
        </w:rPr>
      </w:pPr>
      <w:r>
        <w:rPr>
          <w:rFonts w:hint="eastAsia"/>
          <w:b/>
          <w:bCs/>
          <w:szCs w:val="20"/>
          <w:lang w:val="en-US" w:eastAsia="zh-CN"/>
        </w:rPr>
        <w:t xml:space="preserve">Proposal 2: RAN2 assumes not extension is needed on the value range of timer in </w:t>
      </w:r>
      <w:r>
        <w:rPr>
          <w:rFonts w:hint="eastAsia" w:ascii="Times New Roman" w:hAnsi="Times New Roman"/>
          <w:b/>
          <w:bCs/>
          <w:strike w:val="0"/>
          <w:kern w:val="0"/>
          <w:sz w:val="20"/>
          <w:szCs w:val="20"/>
          <w:lang w:val="en-US" w:eastAsia="zh-CN"/>
        </w:rPr>
        <w:t>unit of ms or s</w:t>
      </w:r>
      <w:r>
        <w:rPr>
          <w:rFonts w:hint="eastAsia"/>
          <w:b/>
          <w:bCs/>
          <w:strike w:val="0"/>
          <w:kern w:val="0"/>
          <w:sz w:val="20"/>
          <w:szCs w:val="20"/>
          <w:lang w:val="en-US" w:eastAsia="zh-CN"/>
        </w:rPr>
        <w:t xml:space="preserve"> for IoT NTN TDD. </w:t>
      </w:r>
      <w:r>
        <w:rPr>
          <w:rFonts w:hint="eastAsia"/>
          <w:b/>
          <w:bCs w:val="0"/>
          <w:strike w:val="0"/>
          <w:kern w:val="2"/>
          <w:sz w:val="20"/>
          <w:szCs w:val="20"/>
          <w:lang w:val="en-US" w:eastAsia="zh-CN"/>
        </w:rPr>
        <w:t>This assumption can be revisited if</w:t>
      </w:r>
      <w:r>
        <w:rPr>
          <w:rFonts w:hint="eastAsia"/>
          <w:b/>
          <w:bCs w:val="0"/>
          <w:strike w:val="0"/>
          <w:kern w:val="0"/>
          <w:sz w:val="20"/>
          <w:szCs w:val="20"/>
          <w:lang w:val="en-US" w:eastAsia="zh-CN"/>
        </w:rPr>
        <w:t xml:space="preserve"> </w:t>
      </w:r>
      <w:r>
        <w:rPr>
          <w:rFonts w:hint="eastAsia"/>
          <w:b/>
          <w:bCs/>
          <w:strike w:val="0"/>
          <w:kern w:val="0"/>
          <w:sz w:val="20"/>
          <w:szCs w:val="20"/>
          <w:lang w:val="en-US" w:eastAsia="zh-CN"/>
        </w:rPr>
        <w:t xml:space="preserve">RAN1 provides the exact </w:t>
      </w:r>
      <w:r>
        <w:rPr>
          <w:rFonts w:hint="eastAsia"/>
          <w:b/>
          <w:bCs/>
          <w:szCs w:val="20"/>
          <w:lang w:val="en-US" w:eastAsia="zh-CN"/>
        </w:rPr>
        <w:t>overage enhancement level(e.g. the maximal repetitions number) that is supported in IoT NTN TDD system.</w:t>
      </w:r>
    </w:p>
    <w:p>
      <w:pPr>
        <w:rPr>
          <w:rFonts w:hint="eastAsia"/>
          <w:b/>
          <w:bCs/>
          <w:szCs w:val="20"/>
          <w:lang w:val="en-US" w:eastAsia="zh-CN"/>
        </w:rPr>
      </w:pPr>
      <w:r>
        <w:rPr>
          <w:rFonts w:hint="eastAsia"/>
          <w:b/>
          <w:bCs/>
          <w:szCs w:val="20"/>
          <w:lang w:val="en-US" w:eastAsia="zh-CN"/>
        </w:rPr>
        <w:t xml:space="preserve">Proposal 3: For </w:t>
      </w:r>
      <w:r>
        <w:rPr>
          <w:rFonts w:hint="eastAsia"/>
          <w:b/>
          <w:bCs/>
          <w:strike w:val="0"/>
          <w:kern w:val="0"/>
          <w:sz w:val="20"/>
          <w:szCs w:val="20"/>
          <w:lang w:val="en-US" w:eastAsia="zh-CN"/>
        </w:rPr>
        <w:t xml:space="preserve">the timer of </w:t>
      </w:r>
      <w:r>
        <w:rPr>
          <w:rFonts w:hint="eastAsia" w:ascii="Times New Roman" w:hAnsi="Times New Roman" w:eastAsia="MS Mincho" w:cs="Times New Roman"/>
          <w:b/>
          <w:bCs/>
          <w:i/>
          <w:iCs/>
          <w:strike w:val="0"/>
          <w:szCs w:val="20"/>
          <w:lang w:val="en-US" w:eastAsia="zh-CN" w:bidi="ar-SA"/>
        </w:rPr>
        <w:t>ra-ResponseWindowSize</w:t>
      </w:r>
      <w:r>
        <w:rPr>
          <w:rFonts w:hint="eastAsia" w:ascii="Times New Roman" w:hAnsi="Times New Roman" w:eastAsia="MS Mincho" w:cs="Times New Roman"/>
          <w:b/>
          <w:bCs/>
          <w:strike w:val="0"/>
          <w:szCs w:val="20"/>
          <w:lang w:val="en-US" w:eastAsia="zh-CN" w:bidi="ar-SA"/>
        </w:rPr>
        <w:t xml:space="preserve"> and </w:t>
      </w:r>
      <w:r>
        <w:rPr>
          <w:rFonts w:hint="eastAsia" w:ascii="Times New Roman" w:hAnsi="Times New Roman" w:eastAsia="MS Mincho" w:cs="Times New Roman"/>
          <w:b/>
          <w:bCs/>
          <w:i/>
          <w:iCs/>
          <w:strike w:val="0"/>
          <w:szCs w:val="20"/>
          <w:lang w:val="en-US" w:eastAsia="zh-CN" w:bidi="ar-SA"/>
        </w:rPr>
        <w:t>mac-ContentionResolutionTimer</w:t>
      </w:r>
      <w:r>
        <w:rPr>
          <w:rFonts w:hint="eastAsia" w:eastAsia="MS Mincho" w:cs="Times New Roman"/>
          <w:b/>
          <w:bCs/>
          <w:strike w:val="0"/>
          <w:szCs w:val="20"/>
          <w:lang w:val="en-US" w:eastAsia="zh-CN" w:bidi="ar-SA"/>
        </w:rPr>
        <w:t xml:space="preserve">, the </w:t>
      </w:r>
      <w:r>
        <w:rPr>
          <w:rFonts w:hint="eastAsia"/>
          <w:b/>
          <w:bCs/>
          <w:strike w:val="0"/>
          <w:kern w:val="0"/>
          <w:sz w:val="20"/>
          <w:szCs w:val="20"/>
          <w:lang w:val="en-US" w:eastAsia="zh-CN"/>
        </w:rPr>
        <w:t>absolute value limitation for TDD (i.e., 20.48s) is used for IoT NTN TDD</w:t>
      </w:r>
      <w:r>
        <w:rPr>
          <w:rFonts w:hint="eastAsia"/>
          <w:b/>
          <w:bCs/>
          <w:szCs w:val="20"/>
          <w:lang w:val="en-US" w:eastAsia="zh-CN"/>
        </w:rPr>
        <w:t>.</w:t>
      </w:r>
    </w:p>
    <w:p>
      <w:pPr>
        <w:rPr>
          <w:rFonts w:hint="eastAsia" w:eastAsia="宋体"/>
          <w:b/>
          <w:bCs/>
          <w:kern w:val="0"/>
          <w:sz w:val="20"/>
          <w:szCs w:val="20"/>
          <w:highlight w:val="none"/>
          <w:lang w:val="en-US" w:eastAsia="zh-CN"/>
        </w:rPr>
      </w:pPr>
      <w:r>
        <w:rPr>
          <w:rFonts w:hint="eastAsia" w:eastAsia="宋体"/>
          <w:b/>
          <w:bCs/>
          <w:kern w:val="0"/>
          <w:sz w:val="20"/>
          <w:szCs w:val="20"/>
          <w:highlight w:val="none"/>
          <w:lang w:val="en-US" w:eastAsia="zh-CN"/>
        </w:rPr>
        <w:t xml:space="preserve">Proposal 4: For RA-RNTI calculation in IoT NTN TDD, H-SFN is considered and carrier id is not considered. </w:t>
      </w:r>
    </w:p>
    <w:p>
      <w:pPr>
        <w:rPr>
          <w:rFonts w:hint="eastAsia" w:eastAsia="宋体"/>
          <w:b/>
          <w:bCs/>
          <w:kern w:val="0"/>
          <w:sz w:val="20"/>
          <w:szCs w:val="20"/>
          <w:highlight w:val="none"/>
          <w:lang w:val="en-US" w:eastAsia="zh-CN"/>
        </w:rPr>
      </w:pPr>
      <w:r>
        <w:rPr>
          <w:rFonts w:hint="eastAsia" w:eastAsia="宋体"/>
          <w:b/>
          <w:bCs/>
          <w:kern w:val="0"/>
          <w:sz w:val="20"/>
          <w:szCs w:val="20"/>
          <w:highlight w:val="none"/>
          <w:lang w:val="en-US" w:eastAsia="zh-CN"/>
        </w:rPr>
        <w:t>Proposal 4a: For RA-RNTI calculation in IoT NTN TDD, the NB-IoT TDD RA-RNTI calculation is used as baseline.</w:t>
      </w:r>
    </w:p>
    <w:p>
      <w:pPr>
        <w:rPr>
          <w:rFonts w:hint="eastAsia" w:eastAsia="宋体"/>
          <w:b/>
          <w:bCs/>
          <w:kern w:val="0"/>
          <w:sz w:val="20"/>
          <w:szCs w:val="20"/>
          <w:highlight w:val="none"/>
          <w:lang w:val="en-US" w:eastAsia="zh-CN"/>
        </w:rPr>
      </w:pPr>
      <w:r>
        <w:rPr>
          <w:rFonts w:hint="eastAsia" w:eastAsia="宋体"/>
          <w:b/>
          <w:bCs/>
          <w:kern w:val="0"/>
          <w:sz w:val="20"/>
          <w:szCs w:val="20"/>
          <w:highlight w:val="none"/>
          <w:lang w:val="en-US" w:eastAsia="zh-CN"/>
        </w:rPr>
        <w:t>Proposal 5: RAN2 discusses whether to use floor (SFN_id/4) or floor(SFN_id/9) in RA-RNTI calculation. If floor(SFN_id/9) is used, then RA-RNTI = 1 + floor(SFN_id/9) + 114*(H-SFN mod 2), otherwise RA-RNTI = 1 + floor(SFN_id/4) + 256*(H-SFN mod 2).</w:t>
      </w:r>
    </w:p>
    <w:p>
      <w:pPr>
        <w:rPr>
          <w:rFonts w:hint="eastAsia" w:eastAsia="宋体"/>
          <w:b/>
          <w:bCs/>
          <w:kern w:val="0"/>
          <w:sz w:val="20"/>
          <w:szCs w:val="20"/>
          <w:highlight w:val="none"/>
          <w:lang w:val="en-US" w:eastAsia="zh-CN"/>
        </w:rPr>
      </w:pPr>
      <w:r>
        <w:rPr>
          <w:rFonts w:hint="eastAsia" w:eastAsia="宋体"/>
          <w:b/>
          <w:bCs/>
          <w:kern w:val="0"/>
          <w:sz w:val="20"/>
          <w:szCs w:val="20"/>
          <w:highlight w:val="none"/>
          <w:lang w:val="en-US" w:eastAsia="zh-CN"/>
        </w:rPr>
        <w:t xml:space="preserve">Proposal 6: Use the existing terminology </w:t>
      </w:r>
      <w:r>
        <w:rPr>
          <w:rFonts w:hint="default" w:eastAsia="宋体"/>
          <w:b/>
          <w:bCs/>
          <w:kern w:val="0"/>
          <w:sz w:val="20"/>
          <w:szCs w:val="20"/>
          <w:highlight w:val="none"/>
          <w:lang w:val="en-US" w:eastAsia="zh-CN"/>
        </w:rPr>
        <w:t>“</w:t>
      </w:r>
      <w:r>
        <w:rPr>
          <w:rFonts w:hint="eastAsia" w:eastAsia="宋体"/>
          <w:b/>
          <w:bCs/>
          <w:kern w:val="0"/>
          <w:sz w:val="20"/>
          <w:szCs w:val="20"/>
          <w:highlight w:val="none"/>
          <w:lang w:val="en-US" w:eastAsia="zh-CN"/>
        </w:rPr>
        <w:t xml:space="preserve">the </w:t>
      </w:r>
      <w:r>
        <w:rPr>
          <w:rFonts w:hint="default" w:eastAsia="宋体"/>
          <w:b/>
          <w:bCs/>
          <w:kern w:val="0"/>
          <w:sz w:val="20"/>
          <w:szCs w:val="20"/>
          <w:highlight w:val="none"/>
          <w:lang w:val="en-US" w:eastAsia="zh-CN"/>
        </w:rPr>
        <w:t>first radio frame of the specified PRACH”</w:t>
      </w:r>
      <w:r>
        <w:rPr>
          <w:rFonts w:hint="eastAsia" w:eastAsia="宋体"/>
          <w:b/>
          <w:bCs/>
          <w:kern w:val="0"/>
          <w:sz w:val="20"/>
          <w:szCs w:val="20"/>
          <w:highlight w:val="none"/>
          <w:lang w:val="en-US" w:eastAsia="zh-CN"/>
        </w:rPr>
        <w:t xml:space="preserve"> and </w:t>
      </w:r>
      <w:r>
        <w:rPr>
          <w:rFonts w:hint="default" w:eastAsia="宋体"/>
          <w:b/>
          <w:bCs/>
          <w:kern w:val="0"/>
          <w:sz w:val="20"/>
          <w:szCs w:val="20"/>
          <w:highlight w:val="none"/>
          <w:lang w:val="en-US" w:eastAsia="zh-CN"/>
        </w:rPr>
        <w:t>“</w:t>
      </w:r>
      <w:r>
        <w:rPr>
          <w:rFonts w:eastAsia="Times New Roman"/>
          <w:b/>
          <w:bCs/>
          <w:kern w:val="0"/>
          <w:sz w:val="20"/>
          <w:szCs w:val="20"/>
          <w:highlight w:val="none"/>
          <w:lang w:eastAsia="ja-JP"/>
        </w:rPr>
        <w:t>the first hyper frame of the specified PRACH</w:t>
      </w:r>
      <w:r>
        <w:rPr>
          <w:rFonts w:hint="default" w:eastAsia="宋体"/>
          <w:b/>
          <w:bCs/>
          <w:kern w:val="0"/>
          <w:sz w:val="20"/>
          <w:szCs w:val="20"/>
          <w:highlight w:val="none"/>
          <w:lang w:val="en-US" w:eastAsia="zh-CN"/>
        </w:rPr>
        <w:t>”</w:t>
      </w:r>
      <w:r>
        <w:rPr>
          <w:rFonts w:hint="eastAsia" w:eastAsia="宋体"/>
          <w:b/>
          <w:bCs/>
          <w:kern w:val="0"/>
          <w:sz w:val="20"/>
          <w:szCs w:val="20"/>
          <w:highlight w:val="none"/>
          <w:lang w:val="en-US" w:eastAsia="zh-CN"/>
        </w:rPr>
        <w:t xml:space="preserve"> for RA-RNTI calculation. </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7</w:t>
      </w:r>
      <w:r>
        <w:rPr>
          <w:rFonts w:hint="default"/>
          <w:b/>
          <w:bCs w:val="0"/>
          <w:kern w:val="2"/>
          <w:sz w:val="20"/>
          <w:szCs w:val="20"/>
          <w:lang w:val="en-US" w:eastAsia="zh-CN"/>
        </w:rPr>
        <w:t>: Define value range with multiple 90ms for si-RepetitionPattern, e.g. with value range of every9thRF, every18thRF, every36thRF etc.</w:t>
      </w:r>
    </w:p>
    <w:p>
      <w:pPr>
        <w:rPr>
          <w:rFonts w:hint="default"/>
          <w:b/>
          <w:bCs/>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8</w:t>
      </w:r>
      <w:r>
        <w:rPr>
          <w:rFonts w:hint="default"/>
          <w:b/>
          <w:bCs w:val="0"/>
          <w:kern w:val="2"/>
          <w:sz w:val="20"/>
          <w:szCs w:val="20"/>
          <w:lang w:val="en-US" w:eastAsia="zh-CN"/>
        </w:rPr>
        <w:t xml:space="preserve">: </w:t>
      </w:r>
      <w:r>
        <w:rPr>
          <w:rFonts w:hint="eastAsia"/>
          <w:b/>
          <w:bCs/>
          <w:szCs w:val="20"/>
          <w:lang w:val="en-US" w:eastAsia="zh-CN"/>
        </w:rPr>
        <w:t xml:space="preserve">SI transmission can be dropped in </w:t>
      </w:r>
      <w:r>
        <w:rPr>
          <w:b/>
          <w:bCs/>
          <w:szCs w:val="20"/>
        </w:rPr>
        <w:t>non-D NB-IoT subframes</w:t>
      </w:r>
      <w:r>
        <w:rPr>
          <w:rFonts w:hint="eastAsia" w:eastAsia="宋体"/>
          <w:b/>
          <w:bCs/>
          <w:szCs w:val="20"/>
          <w:lang w:val="en-US" w:eastAsia="zh-CN"/>
        </w:rPr>
        <w:t>, and the SI-Window determination can follow the legacy NB-IoT mechanism</w:t>
      </w:r>
      <w:r>
        <w:rPr>
          <w:rFonts w:hint="default"/>
          <w:b/>
          <w:bCs/>
          <w:kern w:val="2"/>
          <w:sz w:val="20"/>
          <w:szCs w:val="20"/>
          <w:lang w:val="en-US" w:eastAsia="zh-CN"/>
        </w:rPr>
        <w:t>.</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9</w:t>
      </w:r>
      <w:r>
        <w:rPr>
          <w:rFonts w:hint="default"/>
          <w:b/>
          <w:bCs w:val="0"/>
          <w:kern w:val="2"/>
          <w:sz w:val="20"/>
          <w:szCs w:val="20"/>
          <w:lang w:val="en-US" w:eastAsia="zh-CN"/>
        </w:rPr>
        <w:t>:</w:t>
      </w:r>
      <w:r>
        <w:rPr>
          <w:rFonts w:hint="eastAsia"/>
          <w:b/>
          <w:bCs w:val="0"/>
          <w:kern w:val="2"/>
          <w:sz w:val="20"/>
          <w:szCs w:val="20"/>
          <w:lang w:val="en-US" w:eastAsia="zh-CN"/>
        </w:rPr>
        <w:t xml:space="preserve"> </w:t>
      </w:r>
      <w:r>
        <w:rPr>
          <w:rFonts w:hint="default" w:eastAsia="Calibri"/>
          <w:b/>
          <w:bCs w:val="0"/>
          <w:kern w:val="2"/>
          <w:sz w:val="20"/>
          <w:szCs w:val="20"/>
          <w:lang w:val="en-US" w:eastAsia="zh-CN"/>
        </w:rPr>
        <w:t xml:space="preserve">It is </w:t>
      </w:r>
      <w:r>
        <w:rPr>
          <w:rFonts w:hint="eastAsia"/>
          <w:b/>
          <w:bCs w:val="0"/>
          <w:kern w:val="2"/>
          <w:sz w:val="20"/>
          <w:szCs w:val="20"/>
          <w:lang w:val="en-US" w:eastAsia="zh-CN"/>
        </w:rPr>
        <w:t xml:space="preserve">up to NW implementation </w:t>
      </w:r>
      <w:r>
        <w:rPr>
          <w:rFonts w:hint="default" w:eastAsia="Calibri"/>
          <w:b/>
          <w:bCs w:val="0"/>
          <w:kern w:val="2"/>
          <w:sz w:val="20"/>
          <w:szCs w:val="20"/>
          <w:lang w:val="en-US" w:eastAsia="zh-CN"/>
        </w:rPr>
        <w:t>to avoid SI-window overlap</w:t>
      </w:r>
      <w:r>
        <w:rPr>
          <w:rFonts w:hint="default"/>
          <w:b/>
          <w:bCs w:val="0"/>
          <w:kern w:val="2"/>
          <w:sz w:val="20"/>
          <w:szCs w:val="20"/>
          <w:lang w:val="en-US" w:eastAsia="zh-CN"/>
        </w:rPr>
        <w:t>.</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10</w:t>
      </w:r>
      <w:r>
        <w:rPr>
          <w:rFonts w:hint="default"/>
          <w:b/>
          <w:bCs w:val="0"/>
          <w:kern w:val="2"/>
          <w:sz w:val="20"/>
          <w:szCs w:val="20"/>
          <w:lang w:val="en-US" w:eastAsia="zh-CN"/>
        </w:rPr>
        <w:t>: UE drops the non-DL subframes for SC-PT</w:t>
      </w:r>
      <w:r>
        <w:rPr>
          <w:rFonts w:hint="eastAsia"/>
          <w:b/>
          <w:bCs w:val="0"/>
          <w:kern w:val="2"/>
          <w:sz w:val="20"/>
          <w:szCs w:val="20"/>
          <w:lang w:val="en-US" w:eastAsia="zh-CN"/>
        </w:rPr>
        <w:t>M</w:t>
      </w:r>
      <w:r>
        <w:rPr>
          <w:rFonts w:hint="default"/>
          <w:b/>
          <w:bCs w:val="0"/>
          <w:kern w:val="2"/>
          <w:sz w:val="20"/>
          <w:szCs w:val="20"/>
          <w:lang w:val="en-US" w:eastAsia="zh-CN"/>
        </w:rPr>
        <w:t xml:space="preserve"> reception.</w:t>
      </w:r>
    </w:p>
    <w:p>
      <w:pPr>
        <w:pStyle w:val="53"/>
        <w:numPr>
          <w:ilvl w:val="255"/>
          <w:numId w:val="0"/>
        </w:numPr>
        <w:spacing w:before="75" w:beforeAutospacing="0" w:after="75" w:afterAutospacing="0" w:line="315" w:lineRule="atLeast"/>
        <w:rPr>
          <w:rFonts w:hint="default" w:cs="Times New Roman"/>
          <w:b w:val="0"/>
          <w:bCs/>
          <w:kern w:val="2"/>
          <w:sz w:val="21"/>
          <w:szCs w:val="24"/>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11</w:t>
      </w:r>
      <w:r>
        <w:rPr>
          <w:rFonts w:hint="default"/>
          <w:b/>
          <w:bCs w:val="0"/>
          <w:kern w:val="2"/>
          <w:sz w:val="20"/>
          <w:szCs w:val="20"/>
          <w:lang w:val="en-US" w:eastAsia="zh-CN"/>
        </w:rPr>
        <w:t xml:space="preserve">: </w:t>
      </w:r>
      <w:r>
        <w:rPr>
          <w:rFonts w:hint="eastAsia" w:cs="Times New Roman"/>
          <w:b/>
          <w:bCs w:val="0"/>
          <w:kern w:val="2"/>
          <w:sz w:val="21"/>
          <w:szCs w:val="24"/>
          <w:lang w:val="en-US" w:eastAsia="zh-CN"/>
        </w:rPr>
        <w:t>Kmac extension value of 512ms to 1023ms does not apply to NR NTN and legacy IoT NTN</w:t>
      </w:r>
      <w:r>
        <w:rPr>
          <w:rFonts w:hint="default"/>
          <w:b/>
          <w:bCs w:val="0"/>
          <w:kern w:val="2"/>
          <w:sz w:val="20"/>
          <w:szCs w:val="20"/>
          <w:lang w:val="en-US" w:eastAsia="zh-CN"/>
        </w:rPr>
        <w:t>.</w:t>
      </w:r>
    </w:p>
    <w:p>
      <w:pPr>
        <w:rPr>
          <w:rFonts w:hint="eastAsia"/>
          <w:b/>
          <w:bCs w:val="0"/>
          <w:kern w:val="2"/>
          <w:sz w:val="20"/>
          <w:szCs w:val="20"/>
          <w:lang w:val="en-US" w:eastAsia="zh-CN"/>
        </w:rPr>
      </w:pPr>
      <w:r>
        <w:rPr>
          <w:rFonts w:hint="eastAsia"/>
          <w:b/>
          <w:bCs w:val="0"/>
          <w:kern w:val="2"/>
          <w:sz w:val="20"/>
          <w:szCs w:val="20"/>
          <w:lang w:val="en-US" w:eastAsia="zh-CN"/>
        </w:rPr>
        <w:t>Proposal 12: NPDCCH monitoring issue can wait for more progress in RAN1.</w:t>
      </w:r>
    </w:p>
    <w:p>
      <w:pPr>
        <w:rPr>
          <w:rFonts w:hint="eastAsia"/>
          <w:b/>
          <w:bCs w:val="0"/>
          <w:kern w:val="2"/>
          <w:sz w:val="20"/>
          <w:szCs w:val="20"/>
          <w:lang w:val="en-US" w:eastAsia="zh-CN"/>
        </w:rPr>
      </w:pP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0" w:name="_Toc18403976"/>
      <w:bookmarkStart w:id="21" w:name="_Toc18404543"/>
      <w:bookmarkStart w:id="22" w:name="_Toc18413612"/>
      <w:r>
        <w:rPr>
          <w:rFonts w:cs="Arial"/>
          <w:b w:val="0"/>
          <w:bCs w:val="0"/>
          <w:kern w:val="0"/>
          <w:sz w:val="32"/>
          <w:szCs w:val="36"/>
        </w:rPr>
        <w:t>References</w:t>
      </w:r>
      <w:bookmarkEnd w:id="20"/>
      <w:bookmarkEnd w:id="21"/>
      <w:bookmarkEnd w:id="22"/>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bookmarkStart w:id="23" w:name="_Ref45709611"/>
      <w:r>
        <w:rPr>
          <w:rFonts w:hint="eastAsia" w:eastAsia="Calibri" w:cs="Arial"/>
          <w:color w:val="000000"/>
          <w:sz w:val="20"/>
          <w:szCs w:val="20"/>
          <w:lang w:val="en-US" w:eastAsia="zh-CN"/>
        </w:rPr>
        <w:t xml:space="preserve">RP-243293 </w:t>
      </w:r>
      <w:r>
        <w:rPr>
          <w:rFonts w:hint="eastAsia" w:ascii="Times New Roman" w:hAnsi="Times New Roman" w:eastAsia="Calibri" w:cs="Arial"/>
          <w:b w:val="0"/>
          <w:color w:val="000000"/>
          <w:sz w:val="20"/>
          <w:szCs w:val="20"/>
          <w:lang w:val="en-US" w:eastAsia="zh-CN"/>
        </w:rPr>
        <w:t>Revised WID on introduction of IoT-NTN TDD mode</w:t>
      </w:r>
      <w:bookmarkEnd w:id="23"/>
      <w:r>
        <w:rPr>
          <w:rFonts w:hint="eastAsia" w:eastAsia="Calibri" w:cs="Arial"/>
          <w:color w:val="000000"/>
          <w:sz w:val="20"/>
          <w:szCs w:val="20"/>
          <w:lang w:val="en-US" w:eastAsia="zh-CN"/>
        </w:rPr>
        <w:t>, RAN#106</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Draft_Minutes_report_RAN1#119_v030</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Draft_Minutes_report_RAN1#120_v010</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R2-129bis NR-NTN-IoT-NTN (Sergio)_ 2025-04-10_1300</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Draft_Minutes_report_RAN1#120b_v010</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cs="Arial"/>
          <w:color w:val="000000"/>
          <w:sz w:val="20"/>
          <w:szCs w:val="20"/>
          <w:lang w:val="en-US" w:eastAsia="zh-CN"/>
        </w:rPr>
        <w:t>3GPP TS 36.211, v18.0.1(2024-04), Evolved Universal Terrestrial Radio Access (E-UTRA); Physical channels and modulation(Release 18)</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cs="Arial"/>
          <w:color w:val="000000"/>
          <w:sz w:val="20"/>
          <w:szCs w:val="20"/>
          <w:lang w:val="en-US" w:eastAsia="zh-CN"/>
        </w:rPr>
        <w:t>3GPP TS 36.331, V18.4.0 (2024-12), Evolved Universal Terrestrial Radio Access (E-UTRA);Radio Resource Control (RRC);Protocol specification(Release 18)</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3GPP T3GPP TS 36.321 V18.3.0 (2024-09), Evolved Universal Terrestrial Radio Access (E-UTRA); Medium Access Control (MAC) protocol specification(Release 18)</w:t>
      </w:r>
    </w:p>
    <w:p>
      <w:pPr>
        <w:pStyle w:val="53"/>
        <w:numPr>
          <w:ilvl w:val="0"/>
          <w:numId w:val="9"/>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3GPP TS 38.413 V18.4.0 (2024-12), NG-RAN;</w:t>
      </w:r>
      <w:r>
        <w:rPr>
          <w:rFonts w:hint="eastAsia" w:cs="Arial"/>
          <w:color w:val="000000"/>
          <w:sz w:val="20"/>
          <w:szCs w:val="20"/>
          <w:lang w:val="en-US" w:eastAsia="zh-CN"/>
        </w:rPr>
        <w:t xml:space="preserve"> </w:t>
      </w:r>
      <w:r>
        <w:rPr>
          <w:rFonts w:hint="eastAsia" w:eastAsia="Calibri" w:cs="Arial"/>
          <w:color w:val="000000"/>
          <w:sz w:val="20"/>
          <w:szCs w:val="20"/>
          <w:lang w:val="en-US" w:eastAsia="zh-CN"/>
        </w:rPr>
        <w:t>NG Application Protocol (NGAP)(Release 18)</w:t>
      </w:r>
    </w:p>
    <w:p>
      <w:pPr>
        <w:pStyle w:val="53"/>
        <w:spacing w:before="75" w:beforeAutospacing="0" w:after="75" w:afterAutospacing="0" w:line="315" w:lineRule="atLeast"/>
        <w:rPr>
          <w:rFonts w:cs="Arial"/>
          <w:color w:val="000000"/>
          <w:sz w:val="21"/>
        </w:rPr>
      </w:pPr>
    </w:p>
    <w:sectPr>
      <w:headerReference r:id="rId5" w:type="default"/>
      <w:footerReference r:id="rId6" w:type="default"/>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519DBE"/>
    <w:multiLevelType w:val="singleLevel"/>
    <w:tmpl w:val="BA519DBE"/>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EBD60E5"/>
    <w:multiLevelType w:val="multilevel"/>
    <w:tmpl w:val="4EBD60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055EC99"/>
    <w:multiLevelType w:val="singleLevel"/>
    <w:tmpl w:val="6055EC99"/>
    <w:lvl w:ilvl="0" w:tentative="0">
      <w:start w:val="1"/>
      <w:numFmt w:val="decimal"/>
      <w:lvlText w:val="[%1]"/>
      <w:lvlJc w:val="left"/>
      <w:pPr>
        <w:tabs>
          <w:tab w:val="left" w:pos="420"/>
        </w:tabs>
        <w:ind w:left="425" w:hanging="425"/>
      </w:pPr>
      <w:rPr>
        <w:rFonts w:hint="default"/>
      </w:rPr>
    </w:lvl>
  </w:abstractNum>
  <w:num w:numId="1">
    <w:abstractNumId w:val="1"/>
  </w:num>
  <w:num w:numId="2">
    <w:abstractNumId w:val="6"/>
  </w:num>
  <w:num w:numId="3">
    <w:abstractNumId w:val="3"/>
  </w:num>
  <w:num w:numId="4">
    <w:abstractNumId w:val="4"/>
  </w:num>
  <w:num w:numId="5">
    <w:abstractNumId w:val="2"/>
  </w:num>
  <w:num w:numId="6">
    <w:abstractNumId w:val="0"/>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6A64"/>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47523"/>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82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282E62"/>
    <w:rsid w:val="019D18DB"/>
    <w:rsid w:val="01C97F9D"/>
    <w:rsid w:val="02355118"/>
    <w:rsid w:val="0276200A"/>
    <w:rsid w:val="02905223"/>
    <w:rsid w:val="02EC4B99"/>
    <w:rsid w:val="03174B3B"/>
    <w:rsid w:val="032C596F"/>
    <w:rsid w:val="03A06314"/>
    <w:rsid w:val="03B84CAB"/>
    <w:rsid w:val="03FC2E16"/>
    <w:rsid w:val="048110D0"/>
    <w:rsid w:val="04AB05F1"/>
    <w:rsid w:val="04B132D5"/>
    <w:rsid w:val="04B65AC7"/>
    <w:rsid w:val="04C063D7"/>
    <w:rsid w:val="04C80BE4"/>
    <w:rsid w:val="050D7A74"/>
    <w:rsid w:val="054A58B0"/>
    <w:rsid w:val="054D2E98"/>
    <w:rsid w:val="05644C31"/>
    <w:rsid w:val="059B2220"/>
    <w:rsid w:val="05F354CF"/>
    <w:rsid w:val="05FC35D5"/>
    <w:rsid w:val="060D51FF"/>
    <w:rsid w:val="061E3D2D"/>
    <w:rsid w:val="06461F0F"/>
    <w:rsid w:val="066F03DC"/>
    <w:rsid w:val="06E43161"/>
    <w:rsid w:val="073D1435"/>
    <w:rsid w:val="07910307"/>
    <w:rsid w:val="07C22AC8"/>
    <w:rsid w:val="07D73FE9"/>
    <w:rsid w:val="07E57B6D"/>
    <w:rsid w:val="087D49D7"/>
    <w:rsid w:val="08D130BC"/>
    <w:rsid w:val="091966F1"/>
    <w:rsid w:val="091F7F85"/>
    <w:rsid w:val="092C729B"/>
    <w:rsid w:val="0944373B"/>
    <w:rsid w:val="094B5A4F"/>
    <w:rsid w:val="094F6556"/>
    <w:rsid w:val="09560DB0"/>
    <w:rsid w:val="09650A12"/>
    <w:rsid w:val="098324DB"/>
    <w:rsid w:val="098B1EF5"/>
    <w:rsid w:val="09991DD6"/>
    <w:rsid w:val="09B22382"/>
    <w:rsid w:val="09D5504A"/>
    <w:rsid w:val="09F00BD8"/>
    <w:rsid w:val="0A2501E1"/>
    <w:rsid w:val="0A4D7372"/>
    <w:rsid w:val="0ACB554F"/>
    <w:rsid w:val="0AE46B7B"/>
    <w:rsid w:val="0AFD41C9"/>
    <w:rsid w:val="0B2C0FB7"/>
    <w:rsid w:val="0B555EFE"/>
    <w:rsid w:val="0BAF4DBB"/>
    <w:rsid w:val="0C5D0671"/>
    <w:rsid w:val="0C7A005C"/>
    <w:rsid w:val="0C873133"/>
    <w:rsid w:val="0CA905CB"/>
    <w:rsid w:val="0CBA1583"/>
    <w:rsid w:val="0CC95508"/>
    <w:rsid w:val="0CCD040A"/>
    <w:rsid w:val="0CF069AD"/>
    <w:rsid w:val="0CF771B1"/>
    <w:rsid w:val="0D273323"/>
    <w:rsid w:val="0D47430F"/>
    <w:rsid w:val="0D792DDD"/>
    <w:rsid w:val="0DD970CE"/>
    <w:rsid w:val="0DDE633E"/>
    <w:rsid w:val="0DE8350B"/>
    <w:rsid w:val="0DF4737A"/>
    <w:rsid w:val="0E5A5FB1"/>
    <w:rsid w:val="0E630E58"/>
    <w:rsid w:val="0E6F0740"/>
    <w:rsid w:val="0EAD067B"/>
    <w:rsid w:val="0EF13925"/>
    <w:rsid w:val="0F321E2D"/>
    <w:rsid w:val="0F586698"/>
    <w:rsid w:val="0F751480"/>
    <w:rsid w:val="0F855246"/>
    <w:rsid w:val="0FB93FEE"/>
    <w:rsid w:val="0FC04BA6"/>
    <w:rsid w:val="101D790A"/>
    <w:rsid w:val="103D17F6"/>
    <w:rsid w:val="10647E83"/>
    <w:rsid w:val="10A4531B"/>
    <w:rsid w:val="10B000B8"/>
    <w:rsid w:val="10DF3115"/>
    <w:rsid w:val="113413B0"/>
    <w:rsid w:val="11352B49"/>
    <w:rsid w:val="11553A09"/>
    <w:rsid w:val="1168209E"/>
    <w:rsid w:val="11795FAA"/>
    <w:rsid w:val="117A06CE"/>
    <w:rsid w:val="119953D1"/>
    <w:rsid w:val="11A359E6"/>
    <w:rsid w:val="11B11592"/>
    <w:rsid w:val="11B51818"/>
    <w:rsid w:val="11DB32B7"/>
    <w:rsid w:val="11E4113F"/>
    <w:rsid w:val="11EA5A16"/>
    <w:rsid w:val="11F1356D"/>
    <w:rsid w:val="11FF2FCB"/>
    <w:rsid w:val="120634CC"/>
    <w:rsid w:val="12713CA3"/>
    <w:rsid w:val="131C76E1"/>
    <w:rsid w:val="13346C8B"/>
    <w:rsid w:val="136B7BD0"/>
    <w:rsid w:val="13842A16"/>
    <w:rsid w:val="13DF2225"/>
    <w:rsid w:val="14176E4F"/>
    <w:rsid w:val="14426DCA"/>
    <w:rsid w:val="147539AB"/>
    <w:rsid w:val="147E437F"/>
    <w:rsid w:val="14C75877"/>
    <w:rsid w:val="1501485D"/>
    <w:rsid w:val="150F7D9A"/>
    <w:rsid w:val="151472A1"/>
    <w:rsid w:val="151C7B1A"/>
    <w:rsid w:val="15AA3E44"/>
    <w:rsid w:val="15B029A2"/>
    <w:rsid w:val="15BA2F82"/>
    <w:rsid w:val="15EA22E5"/>
    <w:rsid w:val="15F43124"/>
    <w:rsid w:val="1619599E"/>
    <w:rsid w:val="16481B85"/>
    <w:rsid w:val="169F572C"/>
    <w:rsid w:val="16CF13A1"/>
    <w:rsid w:val="16FE6406"/>
    <w:rsid w:val="170031BF"/>
    <w:rsid w:val="172748F8"/>
    <w:rsid w:val="172E5652"/>
    <w:rsid w:val="174C7604"/>
    <w:rsid w:val="175D39E6"/>
    <w:rsid w:val="176651E2"/>
    <w:rsid w:val="17B66A2F"/>
    <w:rsid w:val="17EA7592"/>
    <w:rsid w:val="180049CA"/>
    <w:rsid w:val="18361444"/>
    <w:rsid w:val="184622E0"/>
    <w:rsid w:val="18653602"/>
    <w:rsid w:val="18685FEA"/>
    <w:rsid w:val="187C5DFA"/>
    <w:rsid w:val="18A3224B"/>
    <w:rsid w:val="18A941C2"/>
    <w:rsid w:val="18AE37B2"/>
    <w:rsid w:val="18BA7D5A"/>
    <w:rsid w:val="18F63ACF"/>
    <w:rsid w:val="18FD7A43"/>
    <w:rsid w:val="19195B8E"/>
    <w:rsid w:val="19D06206"/>
    <w:rsid w:val="1A541C8D"/>
    <w:rsid w:val="1A9B1F53"/>
    <w:rsid w:val="1AD9054A"/>
    <w:rsid w:val="1AF851FC"/>
    <w:rsid w:val="1AFC0C18"/>
    <w:rsid w:val="1B3D4012"/>
    <w:rsid w:val="1B481AFB"/>
    <w:rsid w:val="1B856669"/>
    <w:rsid w:val="1C520BFC"/>
    <w:rsid w:val="1CEB5ECE"/>
    <w:rsid w:val="1D130DE5"/>
    <w:rsid w:val="1D235F66"/>
    <w:rsid w:val="1D2657D8"/>
    <w:rsid w:val="1D330706"/>
    <w:rsid w:val="1D665A9E"/>
    <w:rsid w:val="1D8D3AB3"/>
    <w:rsid w:val="1D9632C5"/>
    <w:rsid w:val="1DCD44A2"/>
    <w:rsid w:val="1DD81E43"/>
    <w:rsid w:val="1DDE6D31"/>
    <w:rsid w:val="1E032872"/>
    <w:rsid w:val="1E21472F"/>
    <w:rsid w:val="1E4743CD"/>
    <w:rsid w:val="1E64724C"/>
    <w:rsid w:val="1EB2633F"/>
    <w:rsid w:val="1EEA44B7"/>
    <w:rsid w:val="1F51614F"/>
    <w:rsid w:val="1FAE087B"/>
    <w:rsid w:val="202325E2"/>
    <w:rsid w:val="20692B0C"/>
    <w:rsid w:val="20705710"/>
    <w:rsid w:val="20EC11F0"/>
    <w:rsid w:val="211E529B"/>
    <w:rsid w:val="21505E37"/>
    <w:rsid w:val="21814271"/>
    <w:rsid w:val="21B35427"/>
    <w:rsid w:val="21E77748"/>
    <w:rsid w:val="22090D84"/>
    <w:rsid w:val="224D6C40"/>
    <w:rsid w:val="22735F55"/>
    <w:rsid w:val="22D72CE0"/>
    <w:rsid w:val="232660FF"/>
    <w:rsid w:val="2339343A"/>
    <w:rsid w:val="2392762E"/>
    <w:rsid w:val="23FB6E22"/>
    <w:rsid w:val="24123AF9"/>
    <w:rsid w:val="247F3404"/>
    <w:rsid w:val="248512BD"/>
    <w:rsid w:val="24CB286B"/>
    <w:rsid w:val="24F136ED"/>
    <w:rsid w:val="24F364BB"/>
    <w:rsid w:val="24FF7400"/>
    <w:rsid w:val="253F2C8E"/>
    <w:rsid w:val="25466592"/>
    <w:rsid w:val="25A05924"/>
    <w:rsid w:val="25A745A9"/>
    <w:rsid w:val="25B00B9F"/>
    <w:rsid w:val="263A1902"/>
    <w:rsid w:val="266253CD"/>
    <w:rsid w:val="27181867"/>
    <w:rsid w:val="271F5C07"/>
    <w:rsid w:val="274041AA"/>
    <w:rsid w:val="2744098B"/>
    <w:rsid w:val="27A83C0C"/>
    <w:rsid w:val="28C858B9"/>
    <w:rsid w:val="293D6BFB"/>
    <w:rsid w:val="29E028C3"/>
    <w:rsid w:val="29F572ED"/>
    <w:rsid w:val="29F87594"/>
    <w:rsid w:val="2A4A4D64"/>
    <w:rsid w:val="2A706DAA"/>
    <w:rsid w:val="2A964895"/>
    <w:rsid w:val="2AA14025"/>
    <w:rsid w:val="2AA823D6"/>
    <w:rsid w:val="2B2348E2"/>
    <w:rsid w:val="2B3A5364"/>
    <w:rsid w:val="2B3B29BF"/>
    <w:rsid w:val="2B4904A3"/>
    <w:rsid w:val="2B4D5018"/>
    <w:rsid w:val="2B76160E"/>
    <w:rsid w:val="2BDE6407"/>
    <w:rsid w:val="2C047E53"/>
    <w:rsid w:val="2C3A1912"/>
    <w:rsid w:val="2C5457E5"/>
    <w:rsid w:val="2C5460E7"/>
    <w:rsid w:val="2C7F2EA6"/>
    <w:rsid w:val="2C881256"/>
    <w:rsid w:val="2C996C0E"/>
    <w:rsid w:val="2CA64350"/>
    <w:rsid w:val="2CAE59D7"/>
    <w:rsid w:val="2CC60F54"/>
    <w:rsid w:val="2CC7500C"/>
    <w:rsid w:val="2CD30697"/>
    <w:rsid w:val="2CDF3906"/>
    <w:rsid w:val="2D144984"/>
    <w:rsid w:val="2D1E05D5"/>
    <w:rsid w:val="2D8B2CA0"/>
    <w:rsid w:val="2D9A5D8B"/>
    <w:rsid w:val="2D9D09E4"/>
    <w:rsid w:val="2D9D6E66"/>
    <w:rsid w:val="2D9F1A0F"/>
    <w:rsid w:val="2DB4770D"/>
    <w:rsid w:val="2DCF0C42"/>
    <w:rsid w:val="2DD114BE"/>
    <w:rsid w:val="2DE70CCF"/>
    <w:rsid w:val="2E4F05D0"/>
    <w:rsid w:val="2E830E4E"/>
    <w:rsid w:val="2E8E3A9D"/>
    <w:rsid w:val="2E9154A2"/>
    <w:rsid w:val="2E9976EC"/>
    <w:rsid w:val="2EAB7F1D"/>
    <w:rsid w:val="2EEE319B"/>
    <w:rsid w:val="2FA563FC"/>
    <w:rsid w:val="2FC078AC"/>
    <w:rsid w:val="2FF6024A"/>
    <w:rsid w:val="3003631E"/>
    <w:rsid w:val="302B20FE"/>
    <w:rsid w:val="3054739C"/>
    <w:rsid w:val="305F1C1A"/>
    <w:rsid w:val="3078124A"/>
    <w:rsid w:val="3090209F"/>
    <w:rsid w:val="30C6301F"/>
    <w:rsid w:val="30D1263C"/>
    <w:rsid w:val="31740730"/>
    <w:rsid w:val="31DE1118"/>
    <w:rsid w:val="32195113"/>
    <w:rsid w:val="32264A0B"/>
    <w:rsid w:val="323D54AE"/>
    <w:rsid w:val="32442964"/>
    <w:rsid w:val="326667AB"/>
    <w:rsid w:val="32C850C3"/>
    <w:rsid w:val="32D900A8"/>
    <w:rsid w:val="32ED25E5"/>
    <w:rsid w:val="33301F31"/>
    <w:rsid w:val="336D3D6E"/>
    <w:rsid w:val="338F3539"/>
    <w:rsid w:val="33E77D27"/>
    <w:rsid w:val="34D52982"/>
    <w:rsid w:val="351323C3"/>
    <w:rsid w:val="354F663E"/>
    <w:rsid w:val="356C3834"/>
    <w:rsid w:val="35901778"/>
    <w:rsid w:val="363111AF"/>
    <w:rsid w:val="36821221"/>
    <w:rsid w:val="3698529B"/>
    <w:rsid w:val="36DD2D38"/>
    <w:rsid w:val="36DF002A"/>
    <w:rsid w:val="3726214C"/>
    <w:rsid w:val="37991B9F"/>
    <w:rsid w:val="37C71177"/>
    <w:rsid w:val="3817459E"/>
    <w:rsid w:val="383427F6"/>
    <w:rsid w:val="38684C65"/>
    <w:rsid w:val="38CF1168"/>
    <w:rsid w:val="38FA0996"/>
    <w:rsid w:val="39193DDA"/>
    <w:rsid w:val="396E02FE"/>
    <w:rsid w:val="39B65BA6"/>
    <w:rsid w:val="39CB6CCC"/>
    <w:rsid w:val="39D42485"/>
    <w:rsid w:val="3A74165D"/>
    <w:rsid w:val="3A7A4DEA"/>
    <w:rsid w:val="3A864490"/>
    <w:rsid w:val="3A9B711C"/>
    <w:rsid w:val="3AA26C9B"/>
    <w:rsid w:val="3ACE0BC0"/>
    <w:rsid w:val="3ADC5E36"/>
    <w:rsid w:val="3AF974B2"/>
    <w:rsid w:val="3B215D98"/>
    <w:rsid w:val="3B5721B9"/>
    <w:rsid w:val="3BB77603"/>
    <w:rsid w:val="3BCE27C4"/>
    <w:rsid w:val="3BE47C50"/>
    <w:rsid w:val="3C3F7E0E"/>
    <w:rsid w:val="3C8B32D0"/>
    <w:rsid w:val="3CA212B0"/>
    <w:rsid w:val="3CBA69AE"/>
    <w:rsid w:val="3CBB4D2A"/>
    <w:rsid w:val="3CF318EC"/>
    <w:rsid w:val="3D7E299F"/>
    <w:rsid w:val="3E2B66DA"/>
    <w:rsid w:val="3E7838B7"/>
    <w:rsid w:val="3E7A082F"/>
    <w:rsid w:val="3FB154AC"/>
    <w:rsid w:val="3FE22AC3"/>
    <w:rsid w:val="3FF22564"/>
    <w:rsid w:val="3FFE7A37"/>
    <w:rsid w:val="401A46CC"/>
    <w:rsid w:val="405E7E2A"/>
    <w:rsid w:val="406A41D2"/>
    <w:rsid w:val="407F1EE0"/>
    <w:rsid w:val="40CC3328"/>
    <w:rsid w:val="410337A4"/>
    <w:rsid w:val="411854D8"/>
    <w:rsid w:val="41D55858"/>
    <w:rsid w:val="422E26AE"/>
    <w:rsid w:val="424010B3"/>
    <w:rsid w:val="424D48F4"/>
    <w:rsid w:val="42680181"/>
    <w:rsid w:val="43041D35"/>
    <w:rsid w:val="43405B9E"/>
    <w:rsid w:val="43446568"/>
    <w:rsid w:val="437906BF"/>
    <w:rsid w:val="43A9025C"/>
    <w:rsid w:val="43B96EDC"/>
    <w:rsid w:val="43BD54CC"/>
    <w:rsid w:val="43C95804"/>
    <w:rsid w:val="43D9533F"/>
    <w:rsid w:val="43D97B26"/>
    <w:rsid w:val="43FA36FF"/>
    <w:rsid w:val="44115CBC"/>
    <w:rsid w:val="442C0EF9"/>
    <w:rsid w:val="444E51E9"/>
    <w:rsid w:val="446F0254"/>
    <w:rsid w:val="44C70D28"/>
    <w:rsid w:val="44FA23B6"/>
    <w:rsid w:val="44FB593D"/>
    <w:rsid w:val="452560E2"/>
    <w:rsid w:val="454E006C"/>
    <w:rsid w:val="45863281"/>
    <w:rsid w:val="460A31F6"/>
    <w:rsid w:val="4625557D"/>
    <w:rsid w:val="465173C0"/>
    <w:rsid w:val="46BB7591"/>
    <w:rsid w:val="46FA7EEF"/>
    <w:rsid w:val="47727391"/>
    <w:rsid w:val="479B20C5"/>
    <w:rsid w:val="47CC39B5"/>
    <w:rsid w:val="48310C7F"/>
    <w:rsid w:val="484B351D"/>
    <w:rsid w:val="484C34D6"/>
    <w:rsid w:val="495D00D8"/>
    <w:rsid w:val="49613924"/>
    <w:rsid w:val="497C7750"/>
    <w:rsid w:val="498254A8"/>
    <w:rsid w:val="49DD7C63"/>
    <w:rsid w:val="49E22B20"/>
    <w:rsid w:val="49E30E0D"/>
    <w:rsid w:val="4A9E44ED"/>
    <w:rsid w:val="4B032DCC"/>
    <w:rsid w:val="4B3040AF"/>
    <w:rsid w:val="4B36381C"/>
    <w:rsid w:val="4B4E3BEF"/>
    <w:rsid w:val="4B4F094D"/>
    <w:rsid w:val="4C081A35"/>
    <w:rsid w:val="4C230E8C"/>
    <w:rsid w:val="4CBA70A3"/>
    <w:rsid w:val="4CEE1B95"/>
    <w:rsid w:val="4CF24C8C"/>
    <w:rsid w:val="4D21431B"/>
    <w:rsid w:val="4D315E71"/>
    <w:rsid w:val="4D53016E"/>
    <w:rsid w:val="4D786103"/>
    <w:rsid w:val="4D877EA6"/>
    <w:rsid w:val="4D976D92"/>
    <w:rsid w:val="4D9E7AF5"/>
    <w:rsid w:val="4DB9358E"/>
    <w:rsid w:val="4DE62DF1"/>
    <w:rsid w:val="4DF41921"/>
    <w:rsid w:val="4E3A65B2"/>
    <w:rsid w:val="4E601500"/>
    <w:rsid w:val="4EA9501F"/>
    <w:rsid w:val="4EC53DEA"/>
    <w:rsid w:val="4EF408DF"/>
    <w:rsid w:val="4EFA5BE1"/>
    <w:rsid w:val="4F1B6985"/>
    <w:rsid w:val="4F2F25EA"/>
    <w:rsid w:val="4F3D590F"/>
    <w:rsid w:val="4F77635D"/>
    <w:rsid w:val="4F992C3F"/>
    <w:rsid w:val="4FBB61DD"/>
    <w:rsid w:val="4FCE552B"/>
    <w:rsid w:val="503A6129"/>
    <w:rsid w:val="50902A53"/>
    <w:rsid w:val="50F36CD9"/>
    <w:rsid w:val="50FB3250"/>
    <w:rsid w:val="5118072D"/>
    <w:rsid w:val="5132797B"/>
    <w:rsid w:val="52006417"/>
    <w:rsid w:val="522378D0"/>
    <w:rsid w:val="522C6B64"/>
    <w:rsid w:val="524629B0"/>
    <w:rsid w:val="52622C38"/>
    <w:rsid w:val="528C01F9"/>
    <w:rsid w:val="5290160D"/>
    <w:rsid w:val="52EA4E49"/>
    <w:rsid w:val="531B05D0"/>
    <w:rsid w:val="53401D24"/>
    <w:rsid w:val="535B6837"/>
    <w:rsid w:val="538E25DC"/>
    <w:rsid w:val="53954A4C"/>
    <w:rsid w:val="53AB764B"/>
    <w:rsid w:val="53E37774"/>
    <w:rsid w:val="54216F40"/>
    <w:rsid w:val="5444751A"/>
    <w:rsid w:val="54C26B98"/>
    <w:rsid w:val="54D21E90"/>
    <w:rsid w:val="54D23E54"/>
    <w:rsid w:val="54FB313B"/>
    <w:rsid w:val="553D5564"/>
    <w:rsid w:val="553F0A67"/>
    <w:rsid w:val="557B66CE"/>
    <w:rsid w:val="5587170E"/>
    <w:rsid w:val="55886ED5"/>
    <w:rsid w:val="55E15918"/>
    <w:rsid w:val="55FE1B82"/>
    <w:rsid w:val="56376A81"/>
    <w:rsid w:val="56423997"/>
    <w:rsid w:val="56540D85"/>
    <w:rsid w:val="56624A63"/>
    <w:rsid w:val="56830F29"/>
    <w:rsid w:val="56AB2D82"/>
    <w:rsid w:val="56B00FA7"/>
    <w:rsid w:val="56BF0EA2"/>
    <w:rsid w:val="56CE15F2"/>
    <w:rsid w:val="56F54D55"/>
    <w:rsid w:val="56FA4A89"/>
    <w:rsid w:val="57A329FE"/>
    <w:rsid w:val="57BF4A0E"/>
    <w:rsid w:val="57EC0E5E"/>
    <w:rsid w:val="58143508"/>
    <w:rsid w:val="584B2382"/>
    <w:rsid w:val="584F4E0D"/>
    <w:rsid w:val="58A85581"/>
    <w:rsid w:val="58D915D3"/>
    <w:rsid w:val="59414843"/>
    <w:rsid w:val="595E2582"/>
    <w:rsid w:val="597F7B1C"/>
    <w:rsid w:val="59813AC4"/>
    <w:rsid w:val="598C25DE"/>
    <w:rsid w:val="59996800"/>
    <w:rsid w:val="59D03840"/>
    <w:rsid w:val="5A4C6CD9"/>
    <w:rsid w:val="5A6D217B"/>
    <w:rsid w:val="5A9A320F"/>
    <w:rsid w:val="5AE9182A"/>
    <w:rsid w:val="5B041E17"/>
    <w:rsid w:val="5B253B20"/>
    <w:rsid w:val="5B2C56F7"/>
    <w:rsid w:val="5B56586E"/>
    <w:rsid w:val="5BDF3319"/>
    <w:rsid w:val="5C7C437D"/>
    <w:rsid w:val="5CA312E9"/>
    <w:rsid w:val="5CB318A3"/>
    <w:rsid w:val="5D93468D"/>
    <w:rsid w:val="5DA17FA3"/>
    <w:rsid w:val="5DAB407F"/>
    <w:rsid w:val="5DCF0D76"/>
    <w:rsid w:val="5E1C7CF9"/>
    <w:rsid w:val="5E337894"/>
    <w:rsid w:val="5E82426F"/>
    <w:rsid w:val="5E96782C"/>
    <w:rsid w:val="5EA87B0A"/>
    <w:rsid w:val="5EB119EE"/>
    <w:rsid w:val="5EC71014"/>
    <w:rsid w:val="5ECD030A"/>
    <w:rsid w:val="5F076D88"/>
    <w:rsid w:val="5F4F4DAE"/>
    <w:rsid w:val="5F730A52"/>
    <w:rsid w:val="5F7516C9"/>
    <w:rsid w:val="5F777E2D"/>
    <w:rsid w:val="5F8828F6"/>
    <w:rsid w:val="5FAC19BB"/>
    <w:rsid w:val="5FFF2CBD"/>
    <w:rsid w:val="600B25AD"/>
    <w:rsid w:val="601D25F7"/>
    <w:rsid w:val="60461C77"/>
    <w:rsid w:val="60692C39"/>
    <w:rsid w:val="608757CC"/>
    <w:rsid w:val="60920AA2"/>
    <w:rsid w:val="60A2104F"/>
    <w:rsid w:val="60B24191"/>
    <w:rsid w:val="60CD0281"/>
    <w:rsid w:val="60F31100"/>
    <w:rsid w:val="60F3649D"/>
    <w:rsid w:val="60F80E36"/>
    <w:rsid w:val="60FF06C5"/>
    <w:rsid w:val="611159D0"/>
    <w:rsid w:val="61AE391A"/>
    <w:rsid w:val="61D53C51"/>
    <w:rsid w:val="62484846"/>
    <w:rsid w:val="626E2D07"/>
    <w:rsid w:val="627B110F"/>
    <w:rsid w:val="62895F5C"/>
    <w:rsid w:val="62913E44"/>
    <w:rsid w:val="62A43985"/>
    <w:rsid w:val="62B8321C"/>
    <w:rsid w:val="62D56100"/>
    <w:rsid w:val="62E10A2F"/>
    <w:rsid w:val="63100AE0"/>
    <w:rsid w:val="6329013B"/>
    <w:rsid w:val="63455AA7"/>
    <w:rsid w:val="63766DF5"/>
    <w:rsid w:val="637E41FF"/>
    <w:rsid w:val="63A965A7"/>
    <w:rsid w:val="63AB0044"/>
    <w:rsid w:val="63BC58B7"/>
    <w:rsid w:val="63D626E7"/>
    <w:rsid w:val="63D9642A"/>
    <w:rsid w:val="63D97E21"/>
    <w:rsid w:val="63E41E32"/>
    <w:rsid w:val="63E63410"/>
    <w:rsid w:val="63EB3090"/>
    <w:rsid w:val="64013D97"/>
    <w:rsid w:val="640A593F"/>
    <w:rsid w:val="646A6FBF"/>
    <w:rsid w:val="64732F74"/>
    <w:rsid w:val="64D368DF"/>
    <w:rsid w:val="64ED2770"/>
    <w:rsid w:val="64ED2F29"/>
    <w:rsid w:val="65503DFF"/>
    <w:rsid w:val="655F4311"/>
    <w:rsid w:val="657919F1"/>
    <w:rsid w:val="6596787F"/>
    <w:rsid w:val="65E03774"/>
    <w:rsid w:val="65E06809"/>
    <w:rsid w:val="65FA0214"/>
    <w:rsid w:val="66061E28"/>
    <w:rsid w:val="663E1191"/>
    <w:rsid w:val="6676202E"/>
    <w:rsid w:val="6684253E"/>
    <w:rsid w:val="66BC18C7"/>
    <w:rsid w:val="66E97154"/>
    <w:rsid w:val="66F9171A"/>
    <w:rsid w:val="6727730F"/>
    <w:rsid w:val="67515F62"/>
    <w:rsid w:val="6761194F"/>
    <w:rsid w:val="67A01566"/>
    <w:rsid w:val="67A84465"/>
    <w:rsid w:val="67AD54A4"/>
    <w:rsid w:val="67E84FC5"/>
    <w:rsid w:val="67E902A8"/>
    <w:rsid w:val="68201C77"/>
    <w:rsid w:val="68AD1687"/>
    <w:rsid w:val="68DB360D"/>
    <w:rsid w:val="69393D31"/>
    <w:rsid w:val="69797C2C"/>
    <w:rsid w:val="69B46572"/>
    <w:rsid w:val="69E22074"/>
    <w:rsid w:val="6A19781D"/>
    <w:rsid w:val="6AC81E68"/>
    <w:rsid w:val="6AE85A2B"/>
    <w:rsid w:val="6AF95043"/>
    <w:rsid w:val="6BB2648C"/>
    <w:rsid w:val="6BF25C27"/>
    <w:rsid w:val="6C225F3D"/>
    <w:rsid w:val="6C7B5108"/>
    <w:rsid w:val="6C8535FE"/>
    <w:rsid w:val="6C877B43"/>
    <w:rsid w:val="6CD03C67"/>
    <w:rsid w:val="6D000BE4"/>
    <w:rsid w:val="6D1112AB"/>
    <w:rsid w:val="6D735E56"/>
    <w:rsid w:val="6D745897"/>
    <w:rsid w:val="6D8A3173"/>
    <w:rsid w:val="6D9028FA"/>
    <w:rsid w:val="6D935AB0"/>
    <w:rsid w:val="6DFA0A69"/>
    <w:rsid w:val="6E087119"/>
    <w:rsid w:val="6E4C7581"/>
    <w:rsid w:val="6E6910B0"/>
    <w:rsid w:val="6EFB50E8"/>
    <w:rsid w:val="6F205587"/>
    <w:rsid w:val="6F3B298E"/>
    <w:rsid w:val="6F5C6C7D"/>
    <w:rsid w:val="6F767D3E"/>
    <w:rsid w:val="6F9E6B4A"/>
    <w:rsid w:val="6FA40EF5"/>
    <w:rsid w:val="6FD8504E"/>
    <w:rsid w:val="6FD9623E"/>
    <w:rsid w:val="6FEF3F55"/>
    <w:rsid w:val="70172D17"/>
    <w:rsid w:val="703C3353"/>
    <w:rsid w:val="7051799A"/>
    <w:rsid w:val="70540472"/>
    <w:rsid w:val="70AF0484"/>
    <w:rsid w:val="70C04599"/>
    <w:rsid w:val="70D03D2D"/>
    <w:rsid w:val="70F95EE6"/>
    <w:rsid w:val="711251E6"/>
    <w:rsid w:val="71173046"/>
    <w:rsid w:val="71597A72"/>
    <w:rsid w:val="71F05345"/>
    <w:rsid w:val="720C6CA8"/>
    <w:rsid w:val="72540381"/>
    <w:rsid w:val="72A14F9D"/>
    <w:rsid w:val="72D028E8"/>
    <w:rsid w:val="72D8330C"/>
    <w:rsid w:val="72E476B0"/>
    <w:rsid w:val="72E9489F"/>
    <w:rsid w:val="73166A37"/>
    <w:rsid w:val="73331C93"/>
    <w:rsid w:val="73384217"/>
    <w:rsid w:val="73752B5E"/>
    <w:rsid w:val="73A445D3"/>
    <w:rsid w:val="73C73359"/>
    <w:rsid w:val="73E1565D"/>
    <w:rsid w:val="74991539"/>
    <w:rsid w:val="74F83712"/>
    <w:rsid w:val="75373CDC"/>
    <w:rsid w:val="75544B2F"/>
    <w:rsid w:val="75754349"/>
    <w:rsid w:val="75762BD4"/>
    <w:rsid w:val="75A528BB"/>
    <w:rsid w:val="760A43BF"/>
    <w:rsid w:val="761E2EF6"/>
    <w:rsid w:val="766905FD"/>
    <w:rsid w:val="76995B35"/>
    <w:rsid w:val="76BD4C60"/>
    <w:rsid w:val="76D77C6C"/>
    <w:rsid w:val="76EE0226"/>
    <w:rsid w:val="7710320B"/>
    <w:rsid w:val="773B46C5"/>
    <w:rsid w:val="774464EA"/>
    <w:rsid w:val="77724862"/>
    <w:rsid w:val="781F4DAC"/>
    <w:rsid w:val="783E4597"/>
    <w:rsid w:val="784A356F"/>
    <w:rsid w:val="784F69A4"/>
    <w:rsid w:val="78B121DE"/>
    <w:rsid w:val="78B25C80"/>
    <w:rsid w:val="790547F9"/>
    <w:rsid w:val="792B0408"/>
    <w:rsid w:val="794E06BE"/>
    <w:rsid w:val="79614BBA"/>
    <w:rsid w:val="79706580"/>
    <w:rsid w:val="797265CF"/>
    <w:rsid w:val="79D31E93"/>
    <w:rsid w:val="7A265E0F"/>
    <w:rsid w:val="7A8C642C"/>
    <w:rsid w:val="7A9B3AB3"/>
    <w:rsid w:val="7A9E49DE"/>
    <w:rsid w:val="7AC61E2C"/>
    <w:rsid w:val="7B115AD7"/>
    <w:rsid w:val="7B1C5306"/>
    <w:rsid w:val="7B2E1D2C"/>
    <w:rsid w:val="7B4726C8"/>
    <w:rsid w:val="7B82113C"/>
    <w:rsid w:val="7BC01697"/>
    <w:rsid w:val="7BC7547B"/>
    <w:rsid w:val="7BCD23C3"/>
    <w:rsid w:val="7BE208A5"/>
    <w:rsid w:val="7C396B41"/>
    <w:rsid w:val="7C5502F4"/>
    <w:rsid w:val="7CA56A4E"/>
    <w:rsid w:val="7CBE1B2B"/>
    <w:rsid w:val="7D191103"/>
    <w:rsid w:val="7D2A73BF"/>
    <w:rsid w:val="7D342D55"/>
    <w:rsid w:val="7D4C7A28"/>
    <w:rsid w:val="7D87285F"/>
    <w:rsid w:val="7D8F4D8B"/>
    <w:rsid w:val="7DA27DF5"/>
    <w:rsid w:val="7DAE3B70"/>
    <w:rsid w:val="7DDB64D4"/>
    <w:rsid w:val="7DDF5E0F"/>
    <w:rsid w:val="7DEA4005"/>
    <w:rsid w:val="7E16066D"/>
    <w:rsid w:val="7E454FB3"/>
    <w:rsid w:val="7E5940F2"/>
    <w:rsid w:val="7E735EC8"/>
    <w:rsid w:val="7E9175FC"/>
    <w:rsid w:val="7E9A6F93"/>
    <w:rsid w:val="7EB54B6D"/>
    <w:rsid w:val="7ECE3CD8"/>
    <w:rsid w:val="7ECF248E"/>
    <w:rsid w:val="7EF93FDD"/>
    <w:rsid w:val="7EFA4B59"/>
    <w:rsid w:val="7F2A3A6C"/>
    <w:rsid w:val="7F5B238F"/>
    <w:rsid w:val="7F882947"/>
    <w:rsid w:val="7F9C4E6B"/>
    <w:rsid w:val="7FF11F73"/>
    <w:rsid w:val="7FFD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cs="Times New Roman" w:eastAsiaTheme="minorEastAsia"/>
      <w:kern w:val="2"/>
      <w:sz w:val="20"/>
      <w:szCs w:val="21"/>
      <w:lang w:val="en-GB" w:eastAsia="en-GB" w:bidi="ar-SA"/>
    </w:rPr>
  </w:style>
  <w:style w:type="paragraph" w:styleId="3">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2"/>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5">
    <w:name w:val="heading 3"/>
    <w:basedOn w:val="4"/>
    <w:next w:val="1"/>
    <w:link w:val="73"/>
    <w:qFormat/>
    <w:uiPriority w:val="0"/>
    <w:pPr>
      <w:numPr>
        <w:ilvl w:val="2"/>
        <w:numId w:val="1"/>
      </w:numPr>
      <w:spacing w:before="260" w:after="260" w:line="416" w:lineRule="auto"/>
      <w:outlineLvl w:val="2"/>
    </w:pPr>
    <w:rPr>
      <w:b/>
      <w:bCs/>
    </w:rPr>
  </w:style>
  <w:style w:type="paragraph" w:styleId="6">
    <w:name w:val="heading 4"/>
    <w:basedOn w:val="5"/>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8">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4"/>
    <w:qFormat/>
    <w:uiPriority w:val="0"/>
    <w:pPr>
      <w:widowControl/>
      <w:spacing w:before="40" w:after="120"/>
      <w:jc w:val="left"/>
    </w:pPr>
    <w:rPr>
      <w:rFonts w:eastAsia="MS Mincho"/>
      <w:kern w:val="0"/>
      <w:sz w:val="20"/>
    </w:rPr>
  </w:style>
  <w:style w:type="paragraph" w:styleId="12">
    <w:name w:val="List 3"/>
    <w:basedOn w:val="1"/>
    <w:qFormat/>
    <w:uiPriority w:val="0"/>
    <w:pPr>
      <w:widowControl/>
      <w:spacing w:before="40"/>
      <w:ind w:left="849" w:hanging="283"/>
      <w:contextualSpacing/>
      <w:jc w:val="left"/>
    </w:pPr>
    <w:rPr>
      <w:rFonts w:eastAsia="MS Mincho"/>
      <w:kern w:val="0"/>
      <w:sz w:val="20"/>
    </w:rPr>
  </w:style>
  <w:style w:type="paragraph" w:styleId="13">
    <w:name w:val="toc 7"/>
    <w:basedOn w:val="1"/>
    <w:next w:val="1"/>
    <w:qFormat/>
    <w:uiPriority w:val="0"/>
    <w:pPr>
      <w:tabs>
        <w:tab w:val="right" w:leader="dot" w:pos="9241"/>
      </w:tabs>
      <w:ind w:firstLine="500" w:firstLineChars="500"/>
      <w:jc w:val="left"/>
    </w:pPr>
    <w:rPr>
      <w:rFonts w:ascii="宋体"/>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List 2"/>
    <w:basedOn w:val="16"/>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eastAsia="MS Mincho"/>
      <w:kern w:val="0"/>
      <w:sz w:val="20"/>
    </w:rPr>
  </w:style>
  <w:style w:type="paragraph" w:customStyle="1" w:styleId="67">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68">
    <w:name w:val="Balloon Text Char"/>
    <w:basedOn w:val="58"/>
    <w:link w:val="36"/>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3"/>
    <w:qFormat/>
    <w:uiPriority w:val="0"/>
    <w:rPr>
      <w:b/>
      <w:bCs/>
      <w:kern w:val="44"/>
      <w:sz w:val="44"/>
      <w:szCs w:val="44"/>
    </w:rPr>
  </w:style>
  <w:style w:type="character" w:customStyle="1" w:styleId="72">
    <w:name w:val="Heading 2 Char"/>
    <w:basedOn w:val="58"/>
    <w:link w:val="4"/>
    <w:qFormat/>
    <w:uiPriority w:val="0"/>
    <w:rPr>
      <w:rFonts w:ascii="Arial" w:hAnsi="Arial" w:eastAsia="MS Mincho"/>
      <w:sz w:val="32"/>
      <w:szCs w:val="32"/>
      <w:lang w:val="en-GB"/>
    </w:rPr>
  </w:style>
  <w:style w:type="character" w:customStyle="1" w:styleId="73">
    <w:name w:val="Heading 3 Char"/>
    <w:basedOn w:val="58"/>
    <w:link w:val="5"/>
    <w:qFormat/>
    <w:uiPriority w:val="0"/>
    <w:rPr>
      <w:b/>
      <w:bCs/>
      <w:kern w:val="2"/>
      <w:sz w:val="32"/>
      <w:szCs w:val="32"/>
    </w:rPr>
  </w:style>
  <w:style w:type="character" w:customStyle="1" w:styleId="74">
    <w:name w:val="Heading 4 Char"/>
    <w:basedOn w:val="58"/>
    <w:link w:val="6"/>
    <w:qFormat/>
    <w:uiPriority w:val="0"/>
    <w:rPr>
      <w:rFonts w:ascii="Arial" w:hAnsi="Arial" w:eastAsia="黑体"/>
      <w:b/>
      <w:kern w:val="2"/>
      <w:sz w:val="28"/>
      <w:szCs w:val="24"/>
    </w:rPr>
  </w:style>
  <w:style w:type="character" w:customStyle="1" w:styleId="75">
    <w:name w:val="Heading 5 Char"/>
    <w:basedOn w:val="58"/>
    <w:link w:val="7"/>
    <w:qFormat/>
    <w:uiPriority w:val="0"/>
    <w:rPr>
      <w:b/>
      <w:kern w:val="2"/>
      <w:sz w:val="28"/>
      <w:szCs w:val="24"/>
    </w:rPr>
  </w:style>
  <w:style w:type="character" w:customStyle="1" w:styleId="76">
    <w:name w:val="Heading 6 Char"/>
    <w:basedOn w:val="58"/>
    <w:link w:val="8"/>
    <w:qFormat/>
    <w:uiPriority w:val="0"/>
    <w:rPr>
      <w:rFonts w:ascii="Arial" w:hAnsi="Arial" w:eastAsia="黑体"/>
      <w:b/>
      <w:kern w:val="2"/>
      <w:sz w:val="24"/>
      <w:szCs w:val="24"/>
    </w:rPr>
  </w:style>
  <w:style w:type="character" w:customStyle="1" w:styleId="77">
    <w:name w:val="Heading 7 Char"/>
    <w:basedOn w:val="58"/>
    <w:link w:val="9"/>
    <w:qFormat/>
    <w:uiPriority w:val="0"/>
    <w:rPr>
      <w:b/>
      <w:kern w:val="2"/>
      <w:sz w:val="24"/>
      <w:szCs w:val="24"/>
    </w:rPr>
  </w:style>
  <w:style w:type="character" w:customStyle="1" w:styleId="78">
    <w:name w:val="Heading 8 Char"/>
    <w:basedOn w:val="58"/>
    <w:link w:val="10"/>
    <w:qFormat/>
    <w:uiPriority w:val="0"/>
    <w:rPr>
      <w:rFonts w:ascii="Arial" w:hAnsi="Arial" w:eastAsia="黑体"/>
      <w:kern w:val="2"/>
      <w:sz w:val="24"/>
      <w:szCs w:val="24"/>
    </w:rPr>
  </w:style>
  <w:style w:type="character" w:customStyle="1" w:styleId="79">
    <w:name w:val="Heading 9 Char"/>
    <w:basedOn w:val="58"/>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6"/>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2"/>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6"/>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3"/>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character" w:customStyle="1" w:styleId="285">
    <w:name w:val="Unresolved Mention1"/>
    <w:basedOn w:val="58"/>
    <w:semiHidden/>
    <w:unhideWhenUsed/>
    <w:qFormat/>
    <w:uiPriority w:val="99"/>
    <w:rPr>
      <w:color w:val="605E5C"/>
      <w:shd w:val="clear" w:color="auto" w:fill="E1DFDD"/>
    </w:rPr>
  </w:style>
  <w:style w:type="paragraph" w:customStyle="1" w:styleId="286">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87">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88">
    <w:name w:val="List Paragraph1"/>
    <w:basedOn w:val="1"/>
    <w:unhideWhenUsed/>
    <w:qFormat/>
    <w:uiPriority w:val="34"/>
    <w:pPr>
      <w:ind w:firstLine="420" w:firstLineChars="200"/>
    </w:pPr>
  </w:style>
  <w:style w:type="paragraph" w:customStyle="1" w:styleId="289">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1">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2">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4">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5">
    <w:name w:val="Revision10"/>
    <w:hidden/>
    <w:unhideWhenUsed/>
    <w:qFormat/>
    <w:uiPriority w:val="99"/>
    <w:rPr>
      <w:rFonts w:ascii="Arial" w:hAnsi="Arial" w:cs="Times New Roman" w:eastAsiaTheme="minorEastAsia"/>
      <w:kern w:val="2"/>
      <w:sz w:val="21"/>
      <w:szCs w:val="21"/>
      <w:lang w:val="en-GB" w:eastAsia="en-GB" w:bidi="ar-SA"/>
    </w:rPr>
  </w:style>
  <w:style w:type="character" w:customStyle="1" w:styleId="296">
    <w:name w:val="Unresolved Mention2"/>
    <w:basedOn w:val="58"/>
    <w:semiHidden/>
    <w:unhideWhenUsed/>
    <w:qFormat/>
    <w:uiPriority w:val="99"/>
    <w:rPr>
      <w:color w:val="605E5C"/>
      <w:shd w:val="clear" w:color="auto" w:fill="E1DFDD"/>
    </w:rPr>
  </w:style>
  <w:style w:type="paragraph" w:customStyle="1" w:styleId="29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29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0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01">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02">
    <w:name w:val="Revision"/>
    <w:hidden/>
    <w:unhideWhenUsed/>
    <w:qFormat/>
    <w:uiPriority w:val="99"/>
    <w:rPr>
      <w:rFonts w:ascii="Arial" w:hAnsi="Arial" w:cs="Times New Roman" w:eastAsiaTheme="minorEastAsia"/>
      <w:kern w:val="2"/>
      <w:sz w:val="21"/>
      <w:szCs w:val="21"/>
      <w:lang w:val="en-GB" w:eastAsia="en-GB" w:bidi="ar-SA"/>
    </w:rPr>
  </w:style>
  <w:style w:type="paragraph" w:customStyle="1" w:styleId="303">
    <w:name w:val="Pat Appl"/>
    <w:basedOn w:val="1"/>
    <w:qFormat/>
    <w:uiPriority w:val="0"/>
    <w:pPr>
      <w:tabs>
        <w:tab w:val="left" w:pos="1080"/>
      </w:tabs>
      <w:adjustRightInd w:val="0"/>
      <w:spacing w:line="360" w:lineRule="auto"/>
      <w:jc w:val="left"/>
      <w:textAlignment w:val="baseline"/>
    </w:pPr>
    <w:rPr>
      <w:bCs/>
      <w:kern w:val="0"/>
      <w:sz w:val="24"/>
      <w:lang w:eastAsia="en-US"/>
    </w:rPr>
  </w:style>
  <w:style w:type="character" w:customStyle="1" w:styleId="304">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9</Pages>
  <Words>3704</Words>
  <Characters>19880</Characters>
  <Lines>104</Lines>
  <Paragraphs>29</Paragraphs>
  <TotalTime>9</TotalTime>
  <ScaleCrop>false</ScaleCrop>
  <LinksUpToDate>false</LinksUpToDate>
  <CharactersWithSpaces>23572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2024-08-07T11:13:00Z</dcterms:created>
  <dc:creator>10033860</dc:creator>
  <cp:lastModifiedBy>ZTE(Zhihong)-0508</cp:lastModifiedBy>
  <cp:lastPrinted>2113-01-01T00:00:00Z</cp:lastPrinted>
  <dcterms:modified xsi:type="dcterms:W3CDTF">2025-05-09T03:38:58Z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E93D8D9B729D4BA1BF6BB92A6E678C87</vt:lpwstr>
  </property>
</Properties>
</file>